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C9" w:rsidRDefault="004F5EC9" w:rsidP="004F5EC9">
      <w:pPr>
        <w:pStyle w:val="Nadpis3"/>
        <w:numPr>
          <w:ilvl w:val="0"/>
          <w:numId w:val="0"/>
        </w:numPr>
        <w:ind w:left="720" w:hanging="720"/>
      </w:pPr>
      <w:bookmarkStart w:id="0" w:name="_GoBack"/>
      <w:bookmarkStart w:id="1" w:name="_Toc461185719"/>
      <w:bookmarkEnd w:id="0"/>
      <w:r>
        <w:t>PS „MEZILID</w:t>
      </w:r>
      <w:r w:rsidRPr="00CA2D50">
        <w:t>S</w:t>
      </w:r>
      <w:r>
        <w:t>K</w:t>
      </w:r>
      <w:r w:rsidRPr="00CA2D50">
        <w:t>É</w:t>
      </w:r>
      <w:r>
        <w:t xml:space="preserve"> VZTAHY“ – výstupy</w:t>
      </w:r>
      <w:bookmarkEnd w:id="1"/>
    </w:p>
    <w:p w:rsidR="004F5EC9" w:rsidRDefault="004F5EC9" w:rsidP="004F5EC9">
      <w:pPr>
        <w:spacing w:line="276" w:lineRule="auto"/>
      </w:pPr>
      <w:r>
        <w:t>Dle výskytu četnosti problémů zájmového území roztříděných do kategorií, jak je určili účastníci sehrávek, se na 6. místě co do výskytu četnosti problému umístila problematika mezilidských vztahů.</w:t>
      </w:r>
    </w:p>
    <w:p w:rsidR="004F5EC9" w:rsidRDefault="004F5EC9" w:rsidP="004F5EC9"/>
    <w:p w:rsidR="004F5EC9" w:rsidRPr="00B042B1" w:rsidRDefault="004F5EC9" w:rsidP="004F5EC9">
      <w:pPr>
        <w:pStyle w:val="Titulek"/>
        <w:rPr>
          <w:color w:val="auto"/>
          <w:sz w:val="24"/>
          <w:szCs w:val="24"/>
        </w:rPr>
      </w:pPr>
      <w:bookmarkStart w:id="2" w:name="_Toc445458974"/>
      <w:bookmarkStart w:id="3" w:name="_Toc446407718"/>
      <w:r w:rsidRPr="00B042B1">
        <w:rPr>
          <w:b/>
          <w:color w:val="auto"/>
          <w:sz w:val="24"/>
          <w:szCs w:val="24"/>
        </w:rPr>
        <w:t xml:space="preserve">Tabulka </w:t>
      </w:r>
      <w:r w:rsidR="00744FAE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744FAE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93</w:t>
      </w:r>
      <w:r w:rsidR="00744FAE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>Identifikované problémy území v rámci problémového okruhu „Mezilidské vztahy“</w:t>
      </w:r>
      <w:bookmarkEnd w:id="2"/>
      <w:bookmarkEnd w:id="3"/>
    </w:p>
    <w:tbl>
      <w:tblPr>
        <w:tblW w:w="72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20"/>
        <w:gridCol w:w="2169"/>
        <w:gridCol w:w="1713"/>
        <w:gridCol w:w="1817"/>
      </w:tblGrid>
      <w:tr w:rsidR="004F5EC9" w:rsidRPr="00AA4CE1" w:rsidTr="00AE1C8F">
        <w:trPr>
          <w:trHeight w:val="61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F5EC9" w:rsidRPr="00AA4CE1" w:rsidRDefault="004F5EC9" w:rsidP="00AE1C8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A4CE1">
              <w:rPr>
                <w:b/>
                <w:bCs/>
                <w:color w:val="000000"/>
              </w:rPr>
              <w:t>Umístění problému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5EC9" w:rsidRPr="00AA4CE1" w:rsidRDefault="004F5EC9" w:rsidP="00AE1C8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A4CE1">
              <w:rPr>
                <w:b/>
                <w:bCs/>
                <w:color w:val="000000"/>
              </w:rPr>
              <w:t>Kategorie 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5EC9" w:rsidRPr="00AA4CE1" w:rsidRDefault="004F5EC9" w:rsidP="00AE1C8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A4CE1">
              <w:rPr>
                <w:b/>
                <w:bCs/>
                <w:color w:val="000000"/>
              </w:rPr>
              <w:t>Kategorie 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5EC9" w:rsidRPr="00AA4CE1" w:rsidRDefault="004F5EC9" w:rsidP="00AE1C8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A4CE1">
              <w:rPr>
                <w:b/>
                <w:bCs/>
                <w:color w:val="000000"/>
              </w:rPr>
              <w:t>Kategorie 3</w:t>
            </w:r>
          </w:p>
        </w:tc>
      </w:tr>
      <w:tr w:rsidR="004F5EC9" w:rsidRPr="00AA4CE1" w:rsidTr="00AE1C8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33ED"/>
            <w:vAlign w:val="center"/>
          </w:tcPr>
          <w:p w:rsidR="004F5EC9" w:rsidRPr="00AA4CE1" w:rsidRDefault="004F5EC9" w:rsidP="00AE1C8F">
            <w:pPr>
              <w:spacing w:line="276" w:lineRule="auto"/>
              <w:jc w:val="center"/>
              <w:rPr>
                <w:color w:val="000000"/>
              </w:rPr>
            </w:pPr>
            <w:r w:rsidRPr="00AA4CE1">
              <w:rPr>
                <w:color w:val="000000"/>
              </w:rPr>
              <w:t>6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33ED"/>
            <w:noWrap/>
            <w:vAlign w:val="center"/>
            <w:hideMark/>
          </w:tcPr>
          <w:p w:rsidR="004F5EC9" w:rsidRPr="00AA4CE1" w:rsidRDefault="004F5EC9" w:rsidP="00AE1C8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A4CE1">
              <w:rPr>
                <w:b/>
                <w:bCs/>
                <w:color w:val="000000"/>
              </w:rPr>
              <w:t>mezilidské vztahy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33ED"/>
            <w:noWrap/>
            <w:vAlign w:val="center"/>
            <w:hideMark/>
          </w:tcPr>
          <w:p w:rsidR="004F5EC9" w:rsidRPr="00AA4CE1" w:rsidRDefault="004F5EC9" w:rsidP="00AE1C8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33ED"/>
            <w:noWrap/>
            <w:vAlign w:val="center"/>
            <w:hideMark/>
          </w:tcPr>
          <w:p w:rsidR="004F5EC9" w:rsidRPr="00AA4CE1" w:rsidRDefault="004F5EC9" w:rsidP="00AE1C8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F5EC9" w:rsidRPr="00AA4CE1" w:rsidTr="00AE1C8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33ED"/>
            <w:vAlign w:val="center"/>
          </w:tcPr>
          <w:p w:rsidR="004F5EC9" w:rsidRPr="00AA4CE1" w:rsidRDefault="004F5EC9" w:rsidP="00AE1C8F">
            <w:pPr>
              <w:spacing w:line="276" w:lineRule="auto"/>
              <w:jc w:val="center"/>
              <w:rPr>
                <w:color w:val="000000"/>
              </w:rPr>
            </w:pPr>
            <w:r w:rsidRPr="00AA4CE1">
              <w:rPr>
                <w:color w:val="000000"/>
              </w:rPr>
              <w:t>12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33ED"/>
            <w:noWrap/>
            <w:vAlign w:val="center"/>
            <w:hideMark/>
          </w:tcPr>
          <w:p w:rsidR="004F5EC9" w:rsidRPr="00AA4CE1" w:rsidRDefault="004F5EC9" w:rsidP="00AE1C8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A4CE1">
              <w:rPr>
                <w:b/>
                <w:bCs/>
                <w:color w:val="000000"/>
              </w:rPr>
              <w:t>životní prostředí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33ED"/>
            <w:noWrap/>
            <w:vAlign w:val="center"/>
            <w:hideMark/>
          </w:tcPr>
          <w:p w:rsidR="004F5EC9" w:rsidRPr="00AA4CE1" w:rsidRDefault="004F5EC9" w:rsidP="00AE1C8F">
            <w:pPr>
              <w:spacing w:line="276" w:lineRule="auto"/>
              <w:jc w:val="center"/>
              <w:rPr>
                <w:color w:val="000000"/>
              </w:rPr>
            </w:pPr>
            <w:r w:rsidRPr="00AA4CE1">
              <w:rPr>
                <w:color w:val="000000"/>
              </w:rPr>
              <w:t>odpady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33ED"/>
            <w:noWrap/>
            <w:vAlign w:val="center"/>
            <w:hideMark/>
          </w:tcPr>
          <w:p w:rsidR="004F5EC9" w:rsidRPr="00AA4CE1" w:rsidRDefault="004F5EC9" w:rsidP="00AE1C8F">
            <w:pPr>
              <w:spacing w:line="276" w:lineRule="auto"/>
              <w:jc w:val="center"/>
              <w:rPr>
                <w:color w:val="000000"/>
              </w:rPr>
            </w:pPr>
            <w:r w:rsidRPr="00AA4CE1">
              <w:rPr>
                <w:color w:val="000000"/>
              </w:rPr>
              <w:t>ukládání a třídění odpadů</w:t>
            </w:r>
          </w:p>
        </w:tc>
      </w:tr>
      <w:tr w:rsidR="004F5EC9" w:rsidRPr="00AA4CE1" w:rsidTr="00AE1C8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33ED"/>
            <w:vAlign w:val="center"/>
          </w:tcPr>
          <w:p w:rsidR="004F5EC9" w:rsidRPr="00AA4CE1" w:rsidRDefault="004F5EC9" w:rsidP="00AE1C8F">
            <w:pPr>
              <w:spacing w:line="276" w:lineRule="auto"/>
              <w:jc w:val="center"/>
              <w:rPr>
                <w:color w:val="000000"/>
              </w:rPr>
            </w:pPr>
            <w:r w:rsidRPr="00AA4CE1">
              <w:rPr>
                <w:color w:val="000000"/>
              </w:rPr>
              <w:t>13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33ED"/>
            <w:noWrap/>
            <w:vAlign w:val="center"/>
            <w:hideMark/>
          </w:tcPr>
          <w:p w:rsidR="004F5EC9" w:rsidRPr="00AA4CE1" w:rsidRDefault="004F5EC9" w:rsidP="00AE1C8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A4CE1">
              <w:rPr>
                <w:b/>
                <w:bCs/>
                <w:color w:val="000000"/>
              </w:rPr>
              <w:t>senioři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33ED"/>
            <w:noWrap/>
            <w:vAlign w:val="center"/>
            <w:hideMark/>
          </w:tcPr>
          <w:p w:rsidR="004F5EC9" w:rsidRPr="00AA4CE1" w:rsidRDefault="004F5EC9" w:rsidP="00AE1C8F">
            <w:pPr>
              <w:spacing w:line="276" w:lineRule="auto"/>
              <w:jc w:val="center"/>
              <w:rPr>
                <w:color w:val="000000"/>
              </w:rPr>
            </w:pPr>
            <w:r w:rsidRPr="00AA4CE1">
              <w:rPr>
                <w:color w:val="000000"/>
              </w:rPr>
              <w:t>pečovatelské služby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33ED"/>
            <w:noWrap/>
            <w:vAlign w:val="center"/>
            <w:hideMark/>
          </w:tcPr>
          <w:p w:rsidR="004F5EC9" w:rsidRPr="00AA4CE1" w:rsidRDefault="004F5EC9" w:rsidP="00AE1C8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F5EC9" w:rsidRPr="00214AE1" w:rsidRDefault="004F5EC9" w:rsidP="004F5EC9">
      <w:pPr>
        <w:pStyle w:val="DecimalAligned"/>
        <w:tabs>
          <w:tab w:val="clear" w:pos="360"/>
        </w:tabs>
        <w:spacing w:after="0" w:line="360" w:lineRule="auto"/>
        <w:rPr>
          <w:rFonts w:ascii="Times New Roman" w:hAnsi="Times New Roman"/>
          <w:szCs w:val="20"/>
          <w:lang w:eastAsia="cs-CZ"/>
        </w:rPr>
      </w:pPr>
      <w:r w:rsidRPr="00214AE1">
        <w:rPr>
          <w:rFonts w:ascii="Times New Roman" w:hAnsi="Times New Roman"/>
          <w:szCs w:val="20"/>
          <w:lang w:eastAsia="cs-CZ"/>
        </w:rPr>
        <w:t>Zdroj: vlastní šetření</w:t>
      </w:r>
    </w:p>
    <w:p w:rsidR="004F5EC9" w:rsidRDefault="004F5EC9" w:rsidP="004F5EC9">
      <w:pPr>
        <w:rPr>
          <w:b/>
        </w:rPr>
      </w:pPr>
    </w:p>
    <w:p w:rsidR="004F5EC9" w:rsidRPr="00591517" w:rsidRDefault="004F5EC9" w:rsidP="004F5EC9">
      <w:pPr>
        <w:rPr>
          <w:b/>
        </w:rPr>
      </w:pPr>
      <w:r w:rsidRPr="00365184">
        <w:rPr>
          <w:b/>
        </w:rPr>
        <w:t>1. Schůzka PS „</w:t>
      </w:r>
      <w:r>
        <w:rPr>
          <w:b/>
        </w:rPr>
        <w:t>Mezilidské vztahy</w:t>
      </w:r>
      <w:r w:rsidRPr="00365184">
        <w:rPr>
          <w:b/>
        </w:rPr>
        <w:t>“</w:t>
      </w:r>
    </w:p>
    <w:p w:rsidR="004F5EC9" w:rsidRDefault="004F5EC9" w:rsidP="004F5EC9">
      <w:r>
        <w:t xml:space="preserve">Pracovní skupina pro „Mezilidské vztahy“, která se sešla k prvnímu jednání dne 12. června 2014 v sálu hostince Pod kaštanem v Borotíně, identifikovala pod vedením facilitátora Ing. Petra Hienla </w:t>
      </w:r>
      <w:r w:rsidRPr="00683929">
        <w:t>příčiny,</w:t>
      </w:r>
      <w:r>
        <w:t xml:space="preserve"> které významně přispívají k problematice zhoršujících se vztahů mezi obyvateli zájmového území.</w:t>
      </w:r>
    </w:p>
    <w:p w:rsidR="004F5EC9" w:rsidRDefault="004F5EC9" w:rsidP="004F5EC9">
      <w:r>
        <w:t>Pracovní skupina provedla posouzení možnosti využití vybraných tematických oblastí pro řešení identifikovaných příčin problému a dospěla k závěrům.</w:t>
      </w:r>
      <w:r>
        <w:br w:type="page"/>
      </w:r>
    </w:p>
    <w:p w:rsidR="004F5EC9" w:rsidRPr="00B042B1" w:rsidRDefault="004F5EC9" w:rsidP="004F5EC9">
      <w:pPr>
        <w:pStyle w:val="Titulek"/>
        <w:rPr>
          <w:color w:val="auto"/>
          <w:sz w:val="24"/>
          <w:szCs w:val="24"/>
        </w:rPr>
      </w:pPr>
      <w:bookmarkStart w:id="4" w:name="_Toc445458975"/>
      <w:bookmarkStart w:id="5" w:name="_Toc446407719"/>
      <w:r w:rsidRPr="00B042B1">
        <w:rPr>
          <w:b/>
          <w:color w:val="auto"/>
          <w:sz w:val="24"/>
          <w:szCs w:val="24"/>
        </w:rPr>
        <w:lastRenderedPageBreak/>
        <w:t xml:space="preserve">Tabulka </w:t>
      </w:r>
      <w:r w:rsidR="00744FAE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744FAE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94</w:t>
      </w:r>
      <w:r w:rsidR="00744FAE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>Příčiny významně přispívající k problematice zhoršujících se vztahů mezi obyvateli</w:t>
      </w:r>
      <w:bookmarkEnd w:id="4"/>
      <w:bookmarkEnd w:id="5"/>
    </w:p>
    <w:p w:rsidR="004F5EC9" w:rsidRDefault="004F5EC9" w:rsidP="004F5EC9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 snižující se nabídkou pracovních příležitostí se z venkova vytrácí tradice velkých (v mnohém soběstačných) rodin.</w:t>
      </w:r>
    </w:p>
    <w:p w:rsidR="004F5EC9" w:rsidRDefault="004F5EC9" w:rsidP="004F5EC9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Maminky a tátové na rodičovské dovolené mají málo podnětů k tomu, aby se setkávali a aby tak vytvářely podmínky pro setkávání svých dětí.</w:t>
      </w:r>
    </w:p>
    <w:p w:rsidR="004F5EC9" w:rsidRDefault="004F5EC9" w:rsidP="004F5EC9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>
        <w:t>Děti z jedné obce navštěvují více škol, takže se vlastně ani neznají.</w:t>
      </w:r>
    </w:p>
    <w:p w:rsidR="004F5EC9" w:rsidRDefault="004F5EC9" w:rsidP="004F5EC9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Mladí lidé odjíždějí za vzděláním a prací do měst, své životní partnery již nenalézají v místě svého bydliště nebo v jeho blízkém okolí.</w:t>
      </w:r>
    </w:p>
    <w:p w:rsidR="004F5EC9" w:rsidRDefault="004F5EC9" w:rsidP="004F5EC9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>
        <w:t>Špatná ekonomická situace (nebo touha vlastnit víc) a z toho pramenící podrážděnost se negativně promítá do sousedských vztahů.</w:t>
      </w:r>
    </w:p>
    <w:p w:rsidR="004F5EC9" w:rsidRDefault="004F5EC9" w:rsidP="004F5EC9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>
        <w:t>Obyvatelé zejména malých venkovských sídel mají jen velmi málo příležitostí k setkávání (nechodí se do kostela, nejezdí pojízdná prodejna, nekonají se dračky,…).</w:t>
      </w:r>
    </w:p>
    <w:p w:rsidR="004F5EC9" w:rsidRDefault="004F5EC9" w:rsidP="004F5EC9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>
        <w:t>Chalupáři přinášejí na vesnici anonymní způsoby městského života – nezdraví, nedruží se, jsou odtažití (pěstují „záploťáctví“),…</w:t>
      </w:r>
    </w:p>
    <w:p w:rsidR="004F5EC9" w:rsidRDefault="004F5EC9" w:rsidP="004F5EC9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>
        <w:t>Senioři a jejich problémy se stávají čím dál tím více „neviditelné“ pro okolí.</w:t>
      </w:r>
    </w:p>
    <w:p w:rsidR="004F5EC9" w:rsidRPr="00D02B0B" w:rsidRDefault="004F5EC9" w:rsidP="004F5EC9">
      <w:pPr>
        <w:ind w:left="360"/>
        <w:rPr>
          <w:sz w:val="22"/>
          <w:szCs w:val="24"/>
        </w:rPr>
      </w:pPr>
      <w:r w:rsidRPr="00D02B0B">
        <w:rPr>
          <w:sz w:val="22"/>
          <w:szCs w:val="24"/>
        </w:rPr>
        <w:t>Zdroj: PS „Mezilidské vztahy“, 12.</w:t>
      </w:r>
      <w:r>
        <w:rPr>
          <w:sz w:val="22"/>
          <w:szCs w:val="24"/>
        </w:rPr>
        <w:t xml:space="preserve"> </w:t>
      </w:r>
      <w:r w:rsidRPr="00D02B0B">
        <w:rPr>
          <w:sz w:val="22"/>
          <w:szCs w:val="24"/>
        </w:rPr>
        <w:t>6.</w:t>
      </w:r>
      <w:r>
        <w:rPr>
          <w:sz w:val="22"/>
          <w:szCs w:val="24"/>
        </w:rPr>
        <w:t xml:space="preserve"> </w:t>
      </w:r>
      <w:r w:rsidRPr="00D02B0B">
        <w:rPr>
          <w:sz w:val="22"/>
          <w:szCs w:val="24"/>
        </w:rPr>
        <w:t>2014</w:t>
      </w:r>
    </w:p>
    <w:p w:rsidR="004F5EC9" w:rsidRDefault="004F5EC9" w:rsidP="004F5EC9">
      <w:pPr>
        <w:rPr>
          <w:szCs w:val="24"/>
        </w:rPr>
      </w:pPr>
    </w:p>
    <w:p w:rsidR="004F5EC9" w:rsidRPr="002C16C5" w:rsidRDefault="004F5EC9" w:rsidP="004F5EC9">
      <w:r w:rsidRPr="002C16C5">
        <w:t>Jako možné řešení zjištěných příčin problémů bylo pracovní skupinou na</w:t>
      </w:r>
      <w:r>
        <w:t>vrženo 7 tematických oblastí:</w:t>
      </w:r>
    </w:p>
    <w:p w:rsidR="004F5EC9" w:rsidRPr="002C16C5" w:rsidRDefault="004F5EC9" w:rsidP="004F5EC9">
      <w:r w:rsidRPr="002C16C5">
        <w:t xml:space="preserve">A. Spolkový život </w:t>
      </w:r>
    </w:p>
    <w:p w:rsidR="004F5EC9" w:rsidRPr="002C16C5" w:rsidRDefault="004F5EC9" w:rsidP="004F5EC9">
      <w:r w:rsidRPr="002C16C5">
        <w:t xml:space="preserve">B. Sport a kultura </w:t>
      </w:r>
    </w:p>
    <w:p w:rsidR="004F5EC9" w:rsidRPr="002C16C5" w:rsidRDefault="004F5EC9" w:rsidP="004F5EC9">
      <w:r w:rsidRPr="002C16C5">
        <w:t xml:space="preserve">C. Volnočasové aktivity </w:t>
      </w:r>
    </w:p>
    <w:p w:rsidR="004F5EC9" w:rsidRPr="002C16C5" w:rsidRDefault="004F5EC9" w:rsidP="004F5EC9">
      <w:r w:rsidRPr="002C16C5">
        <w:t xml:space="preserve">D. Dětí a mládeže </w:t>
      </w:r>
    </w:p>
    <w:p w:rsidR="004F5EC9" w:rsidRPr="002C16C5" w:rsidRDefault="004F5EC9" w:rsidP="004F5EC9">
      <w:r w:rsidRPr="002C16C5">
        <w:t xml:space="preserve">E. Školy a další vzdělávání </w:t>
      </w:r>
    </w:p>
    <w:p w:rsidR="004F5EC9" w:rsidRPr="002C16C5" w:rsidRDefault="004F5EC9" w:rsidP="004F5EC9">
      <w:r w:rsidRPr="002C16C5">
        <w:t>F. Sociální péče</w:t>
      </w:r>
    </w:p>
    <w:p w:rsidR="004F5EC9" w:rsidRPr="002C16C5" w:rsidRDefault="004F5EC9" w:rsidP="004F5EC9">
      <w:r w:rsidRPr="002C16C5">
        <w:t>G. Zdravotní péče</w:t>
      </w:r>
    </w:p>
    <w:p w:rsidR="004F5EC9" w:rsidRPr="002C16C5" w:rsidRDefault="004F5EC9" w:rsidP="004F5EC9">
      <w:r w:rsidRPr="002C16C5">
        <w:t>H. Předškolní výchova</w:t>
      </w:r>
    </w:p>
    <w:p w:rsidR="004F5EC9" w:rsidRDefault="004F5EC9" w:rsidP="004F5EC9"/>
    <w:p w:rsidR="004F5EC9" w:rsidRDefault="004F5EC9" w:rsidP="004F5EC9">
      <w:r>
        <w:t>Pracovní skupina provedla posouzení možnosti využití vybraných tematických oblastí pro řešení identifikovaných příčin problému a dospěla k závěrům, které jsou prezentovány v</w:t>
      </w:r>
      <w:r w:rsidR="00744FAE">
        <w:fldChar w:fldCharType="begin"/>
      </w:r>
      <w:r>
        <w:instrText xml:space="preserve"> REF _Ref447096539 \h </w:instrText>
      </w:r>
      <w:r w:rsidR="00744FAE">
        <w:fldChar w:fldCharType="separate"/>
      </w:r>
      <w:r>
        <w:rPr>
          <w:b/>
          <w:szCs w:val="24"/>
        </w:rPr>
        <w:t xml:space="preserve"> tabulce</w:t>
      </w:r>
      <w:r w:rsidRPr="00B042B1">
        <w:rPr>
          <w:b/>
          <w:szCs w:val="24"/>
        </w:rPr>
        <w:t xml:space="preserve"> </w:t>
      </w:r>
      <w:r>
        <w:rPr>
          <w:b/>
          <w:noProof/>
          <w:szCs w:val="24"/>
        </w:rPr>
        <w:t>95</w:t>
      </w:r>
      <w:r w:rsidR="00744FAE">
        <w:fldChar w:fldCharType="end"/>
      </w:r>
      <w:r>
        <w:br w:type="page"/>
      </w:r>
    </w:p>
    <w:p w:rsidR="004F5EC9" w:rsidRPr="00B042B1" w:rsidRDefault="004F5EC9" w:rsidP="004F5EC9">
      <w:pPr>
        <w:pStyle w:val="Titulek"/>
        <w:rPr>
          <w:color w:val="auto"/>
          <w:sz w:val="24"/>
          <w:szCs w:val="24"/>
        </w:rPr>
      </w:pPr>
      <w:bookmarkStart w:id="6" w:name="_Ref447096539"/>
      <w:bookmarkStart w:id="7" w:name="_Toc445458976"/>
      <w:bookmarkStart w:id="8" w:name="_Toc446407720"/>
      <w:r w:rsidRPr="00B042B1">
        <w:rPr>
          <w:b/>
          <w:color w:val="auto"/>
          <w:sz w:val="24"/>
          <w:szCs w:val="24"/>
        </w:rPr>
        <w:lastRenderedPageBreak/>
        <w:t xml:space="preserve">Tabulka </w:t>
      </w:r>
      <w:r w:rsidR="00744FAE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744FAE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95</w:t>
      </w:r>
      <w:r w:rsidR="00744FAE" w:rsidRPr="00B042B1">
        <w:rPr>
          <w:b/>
          <w:color w:val="auto"/>
          <w:sz w:val="24"/>
          <w:szCs w:val="24"/>
        </w:rPr>
        <w:fldChar w:fldCharType="end"/>
      </w:r>
      <w:bookmarkEnd w:id="6"/>
      <w:r w:rsidRPr="00B042B1">
        <w:rPr>
          <w:color w:val="auto"/>
          <w:sz w:val="24"/>
          <w:szCs w:val="24"/>
        </w:rPr>
        <w:t>: Možnosti využití vybraných tematických oblastí pro řešení identifikovaných příčin problému „mezilidské vztahy“</w:t>
      </w:r>
      <w:bookmarkEnd w:id="7"/>
      <w:bookmarkEnd w:id="8"/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4F5EC9" w:rsidTr="00AE1C8F">
        <w:trPr>
          <w:trHeight w:val="567"/>
        </w:trPr>
        <w:tc>
          <w:tcPr>
            <w:tcW w:w="4606" w:type="dxa"/>
            <w:shd w:val="clear" w:color="auto" w:fill="FF00FF"/>
            <w:vAlign w:val="center"/>
          </w:tcPr>
          <w:p w:rsidR="004F5EC9" w:rsidRPr="003D0926" w:rsidRDefault="004F5EC9" w:rsidP="00AE1C8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highlight w:val="magenta"/>
              </w:rPr>
            </w:pPr>
            <w:r w:rsidRPr="003D0926">
              <w:rPr>
                <w:b/>
                <w:bCs/>
                <w:color w:val="000000"/>
                <w:sz w:val="26"/>
                <w:szCs w:val="26"/>
                <w:highlight w:val="magenta"/>
              </w:rPr>
              <w:t>Příčiny problému</w:t>
            </w:r>
          </w:p>
        </w:tc>
        <w:tc>
          <w:tcPr>
            <w:tcW w:w="4606" w:type="dxa"/>
            <w:shd w:val="clear" w:color="auto" w:fill="FF00FF"/>
            <w:vAlign w:val="center"/>
          </w:tcPr>
          <w:p w:rsidR="004F5EC9" w:rsidRPr="003D0926" w:rsidRDefault="004F5EC9" w:rsidP="00AE1C8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highlight w:val="magenta"/>
              </w:rPr>
            </w:pPr>
            <w:r w:rsidRPr="003D0926">
              <w:rPr>
                <w:b/>
                <w:bCs/>
                <w:color w:val="000000"/>
                <w:sz w:val="26"/>
                <w:szCs w:val="26"/>
                <w:highlight w:val="magenta"/>
              </w:rPr>
              <w:t>Oblast řešení</w:t>
            </w:r>
          </w:p>
        </w:tc>
      </w:tr>
      <w:tr w:rsidR="004F5EC9" w:rsidTr="00AE1C8F">
        <w:trPr>
          <w:trHeight w:val="1123"/>
        </w:trPr>
        <w:tc>
          <w:tcPr>
            <w:tcW w:w="4606" w:type="dxa"/>
            <w:vAlign w:val="center"/>
          </w:tcPr>
          <w:p w:rsidR="004F5EC9" w:rsidRPr="003D0926" w:rsidRDefault="004F5EC9" w:rsidP="00AE1C8F">
            <w:pPr>
              <w:pStyle w:val="Bezmez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D0926">
              <w:rPr>
                <w:rFonts w:ascii="Times New Roman" w:hAnsi="Times New Roman"/>
                <w:sz w:val="24"/>
                <w:szCs w:val="24"/>
                <w:lang w:eastAsia="cs-CZ"/>
              </w:rPr>
              <w:t>1. Se snižující se nabídkou pracovních příležitostí se z venkova vytrácí tradice velkých (v mnohém soběstačných) rodin</w:t>
            </w:r>
          </w:p>
        </w:tc>
        <w:tc>
          <w:tcPr>
            <w:tcW w:w="4606" w:type="dxa"/>
            <w:vAlign w:val="center"/>
          </w:tcPr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>Identifikovaný přesah -  „Zaměstnanost“</w:t>
            </w:r>
          </w:p>
        </w:tc>
      </w:tr>
      <w:tr w:rsidR="004F5EC9" w:rsidTr="00AE1C8F">
        <w:tc>
          <w:tcPr>
            <w:tcW w:w="4606" w:type="dxa"/>
            <w:vAlign w:val="center"/>
          </w:tcPr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>2.</w:t>
            </w:r>
            <w:r>
              <w:rPr>
                <w:szCs w:val="24"/>
              </w:rPr>
              <w:t xml:space="preserve"> </w:t>
            </w:r>
            <w:r w:rsidRPr="003D0926">
              <w:rPr>
                <w:szCs w:val="24"/>
              </w:rPr>
              <w:t>Maminky a táto</w:t>
            </w:r>
            <w:r>
              <w:rPr>
                <w:szCs w:val="24"/>
              </w:rPr>
              <w:t>vé na rodičovské dovolené mají</w:t>
            </w:r>
            <w:r w:rsidRPr="003D0926">
              <w:rPr>
                <w:szCs w:val="24"/>
              </w:rPr>
              <w:t xml:space="preserve"> málo pod</w:t>
            </w:r>
            <w:r>
              <w:rPr>
                <w:szCs w:val="24"/>
              </w:rPr>
              <w:t>nětů k tomu, aby se setkávali a </w:t>
            </w:r>
            <w:r w:rsidRPr="003D0926">
              <w:rPr>
                <w:szCs w:val="24"/>
              </w:rPr>
              <w:t>aby tak vytvářely podmínky pro setkávání svých dětí</w:t>
            </w:r>
          </w:p>
        </w:tc>
        <w:tc>
          <w:tcPr>
            <w:tcW w:w="4606" w:type="dxa"/>
            <w:vAlign w:val="center"/>
          </w:tcPr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 xml:space="preserve">A. Spolkový život </w:t>
            </w:r>
          </w:p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>B. Sport a kultura</w:t>
            </w:r>
          </w:p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>G. Předškolní výchova</w:t>
            </w:r>
          </w:p>
        </w:tc>
      </w:tr>
      <w:tr w:rsidR="004F5EC9" w:rsidTr="00AE1C8F">
        <w:tc>
          <w:tcPr>
            <w:tcW w:w="4606" w:type="dxa"/>
            <w:vAlign w:val="center"/>
          </w:tcPr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>3.</w:t>
            </w:r>
            <w:r>
              <w:rPr>
                <w:szCs w:val="24"/>
              </w:rPr>
              <w:t xml:space="preserve"> </w:t>
            </w:r>
            <w:r w:rsidRPr="003D0926">
              <w:rPr>
                <w:szCs w:val="24"/>
              </w:rPr>
              <w:t>Děti z jedné obce navštěvují více škol, takže se vlastně ani neznají</w:t>
            </w:r>
          </w:p>
        </w:tc>
        <w:tc>
          <w:tcPr>
            <w:tcW w:w="4606" w:type="dxa"/>
            <w:vAlign w:val="center"/>
          </w:tcPr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>B. Sport a kultura</w:t>
            </w:r>
          </w:p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>C. Volnočasové aktivity dětí a mládeže</w:t>
            </w:r>
          </w:p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>D. Školy a další vzdělávání</w:t>
            </w:r>
          </w:p>
        </w:tc>
      </w:tr>
      <w:tr w:rsidR="004F5EC9" w:rsidTr="00AE1C8F">
        <w:tc>
          <w:tcPr>
            <w:tcW w:w="4606" w:type="dxa"/>
            <w:vAlign w:val="center"/>
          </w:tcPr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>4.</w:t>
            </w:r>
            <w:r>
              <w:rPr>
                <w:szCs w:val="24"/>
              </w:rPr>
              <w:t xml:space="preserve"> </w:t>
            </w:r>
            <w:r w:rsidRPr="003D0926">
              <w:rPr>
                <w:szCs w:val="24"/>
              </w:rPr>
              <w:t>Mladí lidé odjíždějí za vzděláním a prací do měst, své ž</w:t>
            </w:r>
            <w:r>
              <w:rPr>
                <w:szCs w:val="24"/>
              </w:rPr>
              <w:t xml:space="preserve">ivotní partnery již nenalézají </w:t>
            </w:r>
            <w:r w:rsidRPr="003D0926">
              <w:rPr>
                <w:szCs w:val="24"/>
              </w:rPr>
              <w:t>v místě svého bydliště nebo v jeho blízkém okolí</w:t>
            </w:r>
          </w:p>
        </w:tc>
        <w:tc>
          <w:tcPr>
            <w:tcW w:w="4606" w:type="dxa"/>
            <w:vAlign w:val="center"/>
          </w:tcPr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 xml:space="preserve">A. Spolkový život </w:t>
            </w:r>
          </w:p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>B. Sport a kultura</w:t>
            </w:r>
          </w:p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>C. Volnočasové aktivity dětí a mládeže</w:t>
            </w:r>
          </w:p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>D. Školy a další vzdělávání</w:t>
            </w:r>
          </w:p>
        </w:tc>
      </w:tr>
      <w:tr w:rsidR="004F5EC9" w:rsidTr="00AE1C8F">
        <w:tc>
          <w:tcPr>
            <w:tcW w:w="4606" w:type="dxa"/>
            <w:vAlign w:val="center"/>
          </w:tcPr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>5.</w:t>
            </w:r>
            <w:r>
              <w:rPr>
                <w:szCs w:val="24"/>
              </w:rPr>
              <w:t xml:space="preserve"> </w:t>
            </w:r>
            <w:r w:rsidRPr="003D0926">
              <w:rPr>
                <w:szCs w:val="24"/>
              </w:rPr>
              <w:t>Špatná ekonomická situace (nebo touha vlastnit víc) a z toho pramenící podrážděnost se negativně promítá do sousedských vztahů</w:t>
            </w:r>
          </w:p>
        </w:tc>
        <w:tc>
          <w:tcPr>
            <w:tcW w:w="4606" w:type="dxa"/>
            <w:vAlign w:val="center"/>
          </w:tcPr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 xml:space="preserve">A. Spolkový život </w:t>
            </w:r>
          </w:p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>Identifikovaný přesah -  „Zaměstnanost“</w:t>
            </w:r>
          </w:p>
        </w:tc>
      </w:tr>
      <w:tr w:rsidR="004F5EC9" w:rsidTr="00AE1C8F">
        <w:tc>
          <w:tcPr>
            <w:tcW w:w="4606" w:type="dxa"/>
            <w:vAlign w:val="center"/>
          </w:tcPr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>6.</w:t>
            </w:r>
            <w:r>
              <w:rPr>
                <w:szCs w:val="24"/>
              </w:rPr>
              <w:t xml:space="preserve"> </w:t>
            </w:r>
            <w:r w:rsidRPr="003D0926">
              <w:rPr>
                <w:szCs w:val="24"/>
              </w:rPr>
              <w:t>Obyvatelé zejména malých venkovských sídel  mají jen velmi málo příležitostí k setkávání (nechodí se do kostela, nejezdí pojízdná prodejna, nekonají se dračky,…)</w:t>
            </w:r>
          </w:p>
        </w:tc>
        <w:tc>
          <w:tcPr>
            <w:tcW w:w="4606" w:type="dxa"/>
            <w:vAlign w:val="center"/>
          </w:tcPr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 xml:space="preserve">A. Spolkový život </w:t>
            </w:r>
          </w:p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>B. Sport a kultura</w:t>
            </w:r>
          </w:p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>D. Školy a další vzdělávání</w:t>
            </w:r>
          </w:p>
        </w:tc>
      </w:tr>
      <w:tr w:rsidR="004F5EC9" w:rsidTr="00AE1C8F">
        <w:tc>
          <w:tcPr>
            <w:tcW w:w="4606" w:type="dxa"/>
            <w:vAlign w:val="center"/>
          </w:tcPr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>7.</w:t>
            </w:r>
            <w:r>
              <w:rPr>
                <w:szCs w:val="24"/>
              </w:rPr>
              <w:t xml:space="preserve"> </w:t>
            </w:r>
            <w:r w:rsidRPr="003D0926">
              <w:rPr>
                <w:szCs w:val="24"/>
              </w:rPr>
              <w:t>Chalupáři přinášejí  na vesnici anonymní způsoby městského života – nezdraví, nedruží se, jsou odtažití („záploťáctví“),…</w:t>
            </w:r>
          </w:p>
        </w:tc>
        <w:tc>
          <w:tcPr>
            <w:tcW w:w="4606" w:type="dxa"/>
            <w:vAlign w:val="center"/>
          </w:tcPr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 xml:space="preserve">A. Spolkový život </w:t>
            </w:r>
          </w:p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>B. Sport a kultura</w:t>
            </w:r>
          </w:p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>D. Školy a další vzdělávání</w:t>
            </w:r>
          </w:p>
        </w:tc>
      </w:tr>
      <w:tr w:rsidR="004F5EC9" w:rsidTr="00AE1C8F">
        <w:tc>
          <w:tcPr>
            <w:tcW w:w="4606" w:type="dxa"/>
            <w:vAlign w:val="center"/>
          </w:tcPr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>8.</w:t>
            </w:r>
            <w:r>
              <w:rPr>
                <w:szCs w:val="24"/>
              </w:rPr>
              <w:t xml:space="preserve"> </w:t>
            </w:r>
            <w:r w:rsidRPr="003D0926">
              <w:rPr>
                <w:szCs w:val="24"/>
              </w:rPr>
              <w:t>Senioři a jejich problémy se stávají čím dál tím více „neviditelné“ pro okolí</w:t>
            </w:r>
          </w:p>
        </w:tc>
        <w:tc>
          <w:tcPr>
            <w:tcW w:w="4606" w:type="dxa"/>
            <w:vAlign w:val="center"/>
          </w:tcPr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>B. Sport a kultura</w:t>
            </w:r>
          </w:p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>E. Sociální péče</w:t>
            </w:r>
          </w:p>
          <w:p w:rsidR="004F5EC9" w:rsidRPr="003D0926" w:rsidRDefault="004F5EC9" w:rsidP="00AE1C8F">
            <w:pPr>
              <w:spacing w:line="240" w:lineRule="auto"/>
              <w:jc w:val="left"/>
              <w:rPr>
                <w:szCs w:val="24"/>
              </w:rPr>
            </w:pPr>
            <w:r w:rsidRPr="003D0926">
              <w:rPr>
                <w:szCs w:val="24"/>
              </w:rPr>
              <w:t>F. Zdravotní péče</w:t>
            </w:r>
          </w:p>
        </w:tc>
      </w:tr>
    </w:tbl>
    <w:p w:rsidR="004F5EC9" w:rsidRDefault="004F5EC9" w:rsidP="004F5EC9">
      <w:pPr>
        <w:spacing w:line="276" w:lineRule="auto"/>
      </w:pPr>
    </w:p>
    <w:p w:rsidR="004F5EC9" w:rsidRPr="00B24B1D" w:rsidRDefault="004F5EC9" w:rsidP="004F5EC9">
      <w:pPr>
        <w:spacing w:line="276" w:lineRule="auto"/>
        <w:rPr>
          <w:b/>
          <w:szCs w:val="24"/>
        </w:rPr>
      </w:pPr>
      <w:r>
        <w:rPr>
          <w:b/>
          <w:szCs w:val="24"/>
        </w:rPr>
        <w:t>Výstupy z</w:t>
      </w:r>
      <w:r w:rsidRPr="00AB4D66">
        <w:rPr>
          <w:b/>
          <w:szCs w:val="24"/>
        </w:rPr>
        <w:t xml:space="preserve"> 1. </w:t>
      </w:r>
      <w:r>
        <w:rPr>
          <w:b/>
          <w:szCs w:val="24"/>
        </w:rPr>
        <w:t xml:space="preserve">pracovní schůzky PS „Mezilidské vztahy“ byly využity pro </w:t>
      </w:r>
      <w:r w:rsidRPr="00AB4D66">
        <w:rPr>
          <w:b/>
          <w:szCs w:val="24"/>
        </w:rPr>
        <w:t>zpracován</w:t>
      </w:r>
      <w:r>
        <w:rPr>
          <w:b/>
          <w:szCs w:val="24"/>
        </w:rPr>
        <w:t>í situační</w:t>
      </w:r>
      <w:r w:rsidRPr="00AB4D66">
        <w:rPr>
          <w:b/>
          <w:szCs w:val="24"/>
        </w:rPr>
        <w:t xml:space="preserve"> analýzy pro problémový okruh „</w:t>
      </w:r>
      <w:r>
        <w:rPr>
          <w:b/>
          <w:szCs w:val="24"/>
        </w:rPr>
        <w:t>Mezilidské vztahy</w:t>
      </w:r>
      <w:r w:rsidRPr="00AB4D66">
        <w:rPr>
          <w:b/>
          <w:szCs w:val="24"/>
        </w:rPr>
        <w:t>“</w:t>
      </w:r>
      <w:r>
        <w:rPr>
          <w:b/>
          <w:szCs w:val="24"/>
        </w:rPr>
        <w:t>.</w:t>
      </w:r>
    </w:p>
    <w:p w:rsidR="004F5EC9" w:rsidRDefault="004F5EC9" w:rsidP="004F5EC9">
      <w:pPr>
        <w:rPr>
          <w:b/>
        </w:rPr>
      </w:pPr>
    </w:p>
    <w:p w:rsidR="004F5EC9" w:rsidRDefault="004F5EC9" w:rsidP="004F5EC9">
      <w:pPr>
        <w:rPr>
          <w:b/>
        </w:rPr>
      </w:pPr>
      <w:r>
        <w:rPr>
          <w:b/>
        </w:rPr>
        <w:t>2</w:t>
      </w:r>
      <w:r w:rsidRPr="00365184">
        <w:rPr>
          <w:b/>
        </w:rPr>
        <w:t>. Schůzka PS „</w:t>
      </w:r>
      <w:r>
        <w:rPr>
          <w:b/>
        </w:rPr>
        <w:t>Mezilidské vztahy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F5EC9" w:rsidRDefault="004F5EC9" w:rsidP="004F5EC9">
      <w:r w:rsidRPr="004A43BC">
        <w:t>K druhé pracovní schůzce se členové PS „</w:t>
      </w:r>
      <w:r>
        <w:t>Mezilidské vztahy“</w:t>
      </w:r>
      <w:r w:rsidRPr="004A43BC">
        <w:t xml:space="preserve"> sešli </w:t>
      </w:r>
      <w:r>
        <w:t>25. června 2014</w:t>
      </w:r>
      <w:r w:rsidRPr="004A43BC">
        <w:t xml:space="preserve"> v</w:t>
      </w:r>
      <w:r>
        <w:t> sále hostince Pod kaštanem v Borotíně</w:t>
      </w:r>
      <w:r w:rsidRPr="004A43BC">
        <w:t>.</w:t>
      </w:r>
      <w:r>
        <w:t xml:space="preserve"> </w:t>
      </w:r>
      <w:r w:rsidRPr="004A43BC">
        <w:t xml:space="preserve">Jako odborný garant </w:t>
      </w:r>
      <w:r>
        <w:t xml:space="preserve">byla na jednání PS </w:t>
      </w:r>
      <w:r w:rsidRPr="004A43BC">
        <w:t>přizván</w:t>
      </w:r>
      <w:r>
        <w:t>a paní Markéta Dvořáková, DiS., z MAS Brdy-Vltava.</w:t>
      </w:r>
    </w:p>
    <w:p w:rsidR="004F5EC9" w:rsidRDefault="004F5EC9" w:rsidP="004F5EC9"/>
    <w:p w:rsidR="004F5EC9" w:rsidRDefault="004F5EC9" w:rsidP="004F5EC9">
      <w:r>
        <w:t>Pracovní skupina Mezilidské vztahy provedla bližší identifikaci oblastí řešení ve smyslu rozdělení na potenciální aktivity, které skýtají navrhované oblasti řešení, v rámci kterých by měla být vyhledávána vhodná řešení pro řešení identifikovaných příčin problémů, viz Výstupy z pracovních skupin - Příloha4 - Návrhy řešení - Mezilidské vztahy.</w:t>
      </w:r>
    </w:p>
    <w:p w:rsidR="004F5EC9" w:rsidRPr="00B042B1" w:rsidRDefault="004F5EC9" w:rsidP="004F5EC9">
      <w:pPr>
        <w:pStyle w:val="Titulek"/>
        <w:rPr>
          <w:color w:val="auto"/>
          <w:sz w:val="24"/>
          <w:szCs w:val="24"/>
        </w:rPr>
      </w:pPr>
      <w:bookmarkStart w:id="9" w:name="_Toc445458977"/>
      <w:bookmarkStart w:id="10" w:name="_Toc446407721"/>
      <w:r w:rsidRPr="00B042B1">
        <w:rPr>
          <w:b/>
          <w:color w:val="auto"/>
          <w:sz w:val="24"/>
          <w:szCs w:val="24"/>
        </w:rPr>
        <w:lastRenderedPageBreak/>
        <w:t xml:space="preserve">Tabulka </w:t>
      </w:r>
      <w:r w:rsidR="00744FAE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744FAE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96</w:t>
      </w:r>
      <w:r w:rsidR="00744FAE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>Návrhy řešení identifikovaných příčin analyzovaného problému „spolková činnost“</w:t>
      </w:r>
      <w:bookmarkEnd w:id="9"/>
      <w:bookmarkEnd w:id="10"/>
    </w:p>
    <w:tbl>
      <w:tblPr>
        <w:tblpPr w:leftFromText="142" w:rightFromText="142" w:vertAnchor="text" w:horzAnchor="margin" w:tblpY="1"/>
        <w:tblOverlap w:val="never"/>
        <w:tblW w:w="9426" w:type="dxa"/>
        <w:tblCellMar>
          <w:left w:w="70" w:type="dxa"/>
          <w:right w:w="70" w:type="dxa"/>
        </w:tblCellMar>
        <w:tblLook w:val="04A0"/>
      </w:tblPr>
      <w:tblGrid>
        <w:gridCol w:w="7401"/>
        <w:gridCol w:w="2025"/>
      </w:tblGrid>
      <w:tr w:rsidR="004F5EC9" w:rsidRPr="00AA4CE1" w:rsidTr="00AE1C8F">
        <w:trPr>
          <w:trHeight w:val="567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4F5EC9" w:rsidRPr="003D0926" w:rsidRDefault="004F5EC9" w:rsidP="00AE1C8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highlight w:val="magenta"/>
              </w:rPr>
            </w:pPr>
            <w:r w:rsidRPr="003D0926">
              <w:rPr>
                <w:b/>
                <w:bCs/>
                <w:color w:val="000000"/>
                <w:sz w:val="26"/>
                <w:szCs w:val="26"/>
                <w:highlight w:val="magenta"/>
              </w:rPr>
              <w:t>1. Spolková činnost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4F5EC9" w:rsidRPr="003D0926" w:rsidRDefault="004F5EC9" w:rsidP="00AE1C8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highlight w:val="magenta"/>
              </w:rPr>
            </w:pPr>
            <w:r w:rsidRPr="003D0926">
              <w:rPr>
                <w:b/>
                <w:bCs/>
                <w:color w:val="000000"/>
                <w:sz w:val="26"/>
                <w:szCs w:val="26"/>
                <w:highlight w:val="magenta"/>
              </w:rPr>
              <w:t>Pořadí důležitosti</w:t>
            </w:r>
          </w:p>
        </w:tc>
      </w:tr>
      <w:tr w:rsidR="004F5EC9" w:rsidRPr="00AA4CE1" w:rsidTr="00AE1C8F">
        <w:trPr>
          <w:trHeight w:val="340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1.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Akce zaměřené na děti (spojuje to chalupáře a místní)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1</w:t>
            </w:r>
          </w:p>
        </w:tc>
      </w:tr>
      <w:tr w:rsidR="004F5EC9" w:rsidRPr="00AA4CE1" w:rsidTr="00AE1C8F">
        <w:trPr>
          <w:trHeight w:val="340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7.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Do akcí zapojovat místní i chalupáře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1</w:t>
            </w:r>
          </w:p>
        </w:tc>
      </w:tr>
      <w:tr w:rsidR="004F5EC9" w:rsidRPr="00AA4CE1" w:rsidTr="00AE1C8F">
        <w:trPr>
          <w:trHeight w:val="340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9.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Výstavy (např. šikovných rukou)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1</w:t>
            </w:r>
          </w:p>
        </w:tc>
      </w:tr>
      <w:tr w:rsidR="004F5EC9" w:rsidRPr="00AA4CE1" w:rsidTr="00AE1C8F">
        <w:trPr>
          <w:trHeight w:val="340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16.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Akce s jídlem (kulinářský ples, štrůdlování</w:t>
            </w:r>
            <w:r>
              <w:rPr>
                <w:color w:val="000000"/>
                <w:szCs w:val="24"/>
              </w:rPr>
              <w:t>,</w:t>
            </w:r>
            <w:r w:rsidRPr="00AA4CE1">
              <w:rPr>
                <w:color w:val="000000"/>
                <w:szCs w:val="24"/>
              </w:rPr>
              <w:t>,…)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1</w:t>
            </w:r>
          </w:p>
        </w:tc>
      </w:tr>
      <w:tr w:rsidR="004F5EC9" w:rsidRPr="00AA4CE1" w:rsidTr="00AE1C8F">
        <w:trPr>
          <w:trHeight w:val="340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2.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Akce zaměřené na širokou veřejnost (kultura, spol. akce)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2</w:t>
            </w:r>
          </w:p>
        </w:tc>
      </w:tr>
      <w:tr w:rsidR="004F5EC9" w:rsidRPr="00AA4CE1" w:rsidTr="00AE1C8F">
        <w:trPr>
          <w:trHeight w:val="340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8.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Komunitní plánování (s nezaujatým facilitátorem)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2</w:t>
            </w:r>
          </w:p>
        </w:tc>
      </w:tr>
      <w:tr w:rsidR="004F5EC9" w:rsidRPr="00AA4CE1" w:rsidTr="00AE1C8F">
        <w:trPr>
          <w:trHeight w:val="340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11.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Kurzy vaření, řemeslné – spojené s životem na vesnici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2</w:t>
            </w:r>
          </w:p>
        </w:tc>
      </w:tr>
      <w:tr w:rsidR="004F5EC9" w:rsidRPr="00AA4CE1" w:rsidTr="00AE1C8F">
        <w:trPr>
          <w:trHeight w:val="340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5.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Hasičské soutěže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3</w:t>
            </w:r>
          </w:p>
        </w:tc>
      </w:tr>
      <w:tr w:rsidR="004F5EC9" w:rsidRPr="00AA4CE1" w:rsidTr="00AE1C8F">
        <w:trPr>
          <w:trHeight w:val="340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6.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Cs w:val="24"/>
              </w:rPr>
              <w:t>Obnova kluboven, obnova veř. p</w:t>
            </w:r>
            <w:r w:rsidRPr="00AA4CE1">
              <w:rPr>
                <w:color w:val="000000"/>
                <w:szCs w:val="24"/>
              </w:rPr>
              <w:t>rostor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3</w:t>
            </w:r>
          </w:p>
        </w:tc>
      </w:tr>
      <w:tr w:rsidR="004F5EC9" w:rsidRPr="00AA4CE1" w:rsidTr="00AE1C8F">
        <w:trPr>
          <w:trHeight w:val="340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0A528B">
              <w:rPr>
                <w:color w:val="000000"/>
                <w:szCs w:val="24"/>
              </w:rPr>
              <w:t>10.</w:t>
            </w:r>
            <w:r>
              <w:rPr>
                <w:color w:val="000000"/>
                <w:szCs w:val="24"/>
              </w:rPr>
              <w:t xml:space="preserve"> </w:t>
            </w:r>
            <w:r w:rsidRPr="000A528B">
              <w:rPr>
                <w:color w:val="000000"/>
                <w:szCs w:val="24"/>
              </w:rPr>
              <w:t>Aktivní knihovna (večerní čtení pro zaměstnané ženy)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3</w:t>
            </w:r>
          </w:p>
        </w:tc>
      </w:tr>
      <w:tr w:rsidR="004F5EC9" w:rsidRPr="00AA4CE1" w:rsidTr="00AE1C8F">
        <w:trPr>
          <w:trHeight w:val="340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12.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Spolupráce se školami – kroužky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3</w:t>
            </w:r>
          </w:p>
        </w:tc>
      </w:tr>
      <w:tr w:rsidR="004F5EC9" w:rsidRPr="00AA4CE1" w:rsidTr="00AE1C8F">
        <w:trPr>
          <w:trHeight w:val="340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14.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Přírodní zahrady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3</w:t>
            </w:r>
          </w:p>
        </w:tc>
      </w:tr>
      <w:tr w:rsidR="004F5EC9" w:rsidRPr="00AA4CE1" w:rsidTr="00AE1C8F">
        <w:trPr>
          <w:trHeight w:val="340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3.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Přehlídka divadelních souborů (místních)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4</w:t>
            </w:r>
          </w:p>
        </w:tc>
      </w:tr>
      <w:tr w:rsidR="004F5EC9" w:rsidRPr="00AA4CE1" w:rsidTr="00AE1C8F">
        <w:trPr>
          <w:trHeight w:val="340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4.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Cs w:val="24"/>
              </w:rPr>
              <w:t>Zdravá soupeřivost obcí (h</w:t>
            </w:r>
            <w:r w:rsidRPr="00AA4CE1">
              <w:rPr>
                <w:color w:val="000000"/>
                <w:szCs w:val="24"/>
              </w:rPr>
              <w:t>ry bez hranic)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4</w:t>
            </w:r>
          </w:p>
        </w:tc>
      </w:tr>
      <w:tr w:rsidR="004F5EC9" w:rsidRPr="00AA4CE1" w:rsidTr="00AE1C8F">
        <w:trPr>
          <w:trHeight w:val="340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13.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Zapojení církví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4</w:t>
            </w:r>
          </w:p>
        </w:tc>
      </w:tr>
      <w:tr w:rsidR="004F5EC9" w:rsidRPr="00AA4CE1" w:rsidTr="00AE1C8F">
        <w:trPr>
          <w:trHeight w:val="340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15.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Vzájemné navštěvování zahrad a výstavy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4</w:t>
            </w:r>
          </w:p>
        </w:tc>
      </w:tr>
      <w:tr w:rsidR="004F5EC9" w:rsidRPr="00AA4CE1" w:rsidTr="00AE1C8F">
        <w:trPr>
          <w:trHeight w:val="340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Akce s průběžným zapojováním (sběr receptů, sběr borůvek,…)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color w:val="000000"/>
              </w:rPr>
            </w:pPr>
          </w:p>
        </w:tc>
      </w:tr>
    </w:tbl>
    <w:p w:rsidR="004F5EC9" w:rsidRDefault="004F5EC9" w:rsidP="004F5EC9">
      <w:pPr>
        <w:rPr>
          <w:sz w:val="22"/>
        </w:rPr>
      </w:pPr>
      <w:r w:rsidRPr="00D02B0B">
        <w:rPr>
          <w:sz w:val="22"/>
        </w:rPr>
        <w:t>Zdroj: PS „Mezilidské vztahy“, 25.</w:t>
      </w:r>
      <w:r>
        <w:rPr>
          <w:sz w:val="22"/>
        </w:rPr>
        <w:t xml:space="preserve"> </w:t>
      </w:r>
      <w:r w:rsidRPr="00D02B0B">
        <w:rPr>
          <w:sz w:val="22"/>
        </w:rPr>
        <w:t>6.</w:t>
      </w:r>
      <w:r>
        <w:rPr>
          <w:sz w:val="22"/>
        </w:rPr>
        <w:t xml:space="preserve"> </w:t>
      </w:r>
      <w:r w:rsidRPr="00D02B0B">
        <w:rPr>
          <w:sz w:val="22"/>
        </w:rPr>
        <w:t>2014</w:t>
      </w:r>
    </w:p>
    <w:p w:rsidR="004F5EC9" w:rsidRPr="00D02B0B" w:rsidRDefault="004F5EC9" w:rsidP="004F5EC9">
      <w:pPr>
        <w:spacing w:after="160" w:line="259" w:lineRule="auto"/>
        <w:jc w:val="left"/>
        <w:rPr>
          <w:sz w:val="22"/>
        </w:rPr>
      </w:pPr>
      <w:r>
        <w:rPr>
          <w:sz w:val="22"/>
        </w:rPr>
        <w:br w:type="page"/>
      </w:r>
    </w:p>
    <w:p w:rsidR="004F5EC9" w:rsidRPr="00B042B1" w:rsidRDefault="004F5EC9" w:rsidP="004F5EC9">
      <w:pPr>
        <w:pStyle w:val="Titulek"/>
        <w:rPr>
          <w:color w:val="auto"/>
          <w:sz w:val="24"/>
          <w:szCs w:val="24"/>
        </w:rPr>
      </w:pPr>
      <w:bookmarkStart w:id="11" w:name="_Toc445458978"/>
      <w:bookmarkStart w:id="12" w:name="_Toc446407722"/>
      <w:r w:rsidRPr="00B042B1">
        <w:rPr>
          <w:b/>
          <w:color w:val="auto"/>
          <w:sz w:val="24"/>
          <w:szCs w:val="24"/>
        </w:rPr>
        <w:lastRenderedPageBreak/>
        <w:t xml:space="preserve">Tabulka </w:t>
      </w:r>
      <w:r w:rsidR="00744FAE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744FAE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97</w:t>
      </w:r>
      <w:r w:rsidR="00744FAE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color w:val="auto"/>
          <w:sz w:val="24"/>
          <w:szCs w:val="24"/>
        </w:rPr>
        <w:t>: Návrhy řešení identifikovaných příčin analyzovaného problému „volnočasové aktivity dětí a mládeže“</w:t>
      </w:r>
      <w:bookmarkEnd w:id="11"/>
      <w:bookmarkEnd w:id="12"/>
    </w:p>
    <w:tbl>
      <w:tblPr>
        <w:tblpPr w:leftFromText="142" w:rightFromText="142" w:vertAnchor="text" w:tblpY="1"/>
        <w:tblOverlap w:val="never"/>
        <w:tblW w:w="9371" w:type="dxa"/>
        <w:tblCellMar>
          <w:left w:w="70" w:type="dxa"/>
          <w:right w:w="70" w:type="dxa"/>
        </w:tblCellMar>
        <w:tblLook w:val="04A0"/>
      </w:tblPr>
      <w:tblGrid>
        <w:gridCol w:w="7386"/>
        <w:gridCol w:w="1985"/>
      </w:tblGrid>
      <w:tr w:rsidR="004F5EC9" w:rsidRPr="00AA4CE1" w:rsidTr="00AE1C8F">
        <w:trPr>
          <w:trHeight w:val="56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4F5EC9" w:rsidRPr="000A528B" w:rsidRDefault="004F5EC9" w:rsidP="00AE1C8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highlight w:val="magenta"/>
              </w:rPr>
            </w:pPr>
            <w:r w:rsidRPr="000A528B">
              <w:rPr>
                <w:b/>
                <w:bCs/>
                <w:color w:val="000000"/>
                <w:sz w:val="26"/>
                <w:szCs w:val="26"/>
                <w:highlight w:val="magenta"/>
              </w:rPr>
              <w:t>2. Volnočasové aktivity dětí a mládeže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4F5EC9" w:rsidRPr="000A528B" w:rsidRDefault="004F5EC9" w:rsidP="00AE1C8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highlight w:val="magenta"/>
              </w:rPr>
            </w:pPr>
            <w:r w:rsidRPr="000A528B">
              <w:rPr>
                <w:b/>
                <w:bCs/>
                <w:color w:val="000000"/>
                <w:sz w:val="26"/>
                <w:szCs w:val="26"/>
                <w:highlight w:val="magenta"/>
              </w:rPr>
              <w:t>Pořadí důležitosti</w:t>
            </w:r>
          </w:p>
        </w:tc>
      </w:tr>
      <w:tr w:rsidR="004F5EC9" w:rsidRPr="00AA4CE1" w:rsidTr="00AE1C8F">
        <w:trPr>
          <w:trHeight w:val="32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0A528B">
              <w:rPr>
                <w:color w:val="000000"/>
                <w:szCs w:val="24"/>
              </w:rPr>
              <w:t>1.</w:t>
            </w:r>
            <w:r w:rsidRPr="000A528B">
              <w:rPr>
                <w:color w:val="000000"/>
                <w:sz w:val="14"/>
                <w:szCs w:val="14"/>
              </w:rPr>
              <w:t xml:space="preserve"> </w:t>
            </w:r>
            <w:r w:rsidRPr="000A528B">
              <w:rPr>
                <w:color w:val="000000"/>
                <w:szCs w:val="24"/>
              </w:rPr>
              <w:t xml:space="preserve">Vyhledávání místních lektorů, vedoucích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1</w:t>
            </w:r>
          </w:p>
        </w:tc>
      </w:tr>
      <w:tr w:rsidR="004F5EC9" w:rsidRPr="00AA4CE1" w:rsidTr="00AE1C8F">
        <w:trPr>
          <w:trHeight w:val="32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0A528B">
              <w:rPr>
                <w:color w:val="000000"/>
                <w:szCs w:val="24"/>
              </w:rPr>
              <w:t>18.</w:t>
            </w:r>
            <w:r w:rsidRPr="000A528B">
              <w:rPr>
                <w:color w:val="000000"/>
                <w:sz w:val="14"/>
                <w:szCs w:val="14"/>
              </w:rPr>
              <w:t xml:space="preserve"> </w:t>
            </w:r>
            <w:r w:rsidRPr="000A528B">
              <w:rPr>
                <w:color w:val="000000"/>
                <w:szCs w:val="24"/>
              </w:rPr>
              <w:t>Hledání talentů – soutěže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1</w:t>
            </w:r>
          </w:p>
        </w:tc>
      </w:tr>
      <w:tr w:rsidR="004F5EC9" w:rsidRPr="00AA4CE1" w:rsidTr="00AE1C8F">
        <w:trPr>
          <w:trHeight w:val="32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0A528B">
              <w:rPr>
                <w:color w:val="000000"/>
                <w:szCs w:val="24"/>
              </w:rPr>
              <w:t>2.</w:t>
            </w:r>
            <w:r w:rsidRPr="000A528B">
              <w:rPr>
                <w:color w:val="000000"/>
                <w:sz w:val="14"/>
                <w:szCs w:val="14"/>
              </w:rPr>
              <w:t xml:space="preserve"> </w:t>
            </w:r>
            <w:r w:rsidRPr="000A528B">
              <w:rPr>
                <w:color w:val="000000"/>
                <w:szCs w:val="24"/>
              </w:rPr>
              <w:t>Krátkodobé kurzy pro děti – cca 4 týdny, víkend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2</w:t>
            </w:r>
          </w:p>
        </w:tc>
      </w:tr>
      <w:tr w:rsidR="004F5EC9" w:rsidRPr="00AA4CE1" w:rsidTr="00AE1C8F">
        <w:trPr>
          <w:trHeight w:val="32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0A528B">
              <w:rPr>
                <w:color w:val="000000"/>
                <w:szCs w:val="24"/>
              </w:rPr>
              <w:t>5.</w:t>
            </w:r>
            <w:r w:rsidRPr="000A528B">
              <w:rPr>
                <w:color w:val="000000"/>
                <w:sz w:val="14"/>
                <w:szCs w:val="14"/>
              </w:rPr>
              <w:t xml:space="preserve"> </w:t>
            </w:r>
            <w:r w:rsidRPr="000A528B">
              <w:rPr>
                <w:color w:val="000000"/>
                <w:szCs w:val="24"/>
              </w:rPr>
              <w:t>Kurzy přežití pro děti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2</w:t>
            </w:r>
          </w:p>
        </w:tc>
      </w:tr>
      <w:tr w:rsidR="004F5EC9" w:rsidRPr="00AA4CE1" w:rsidTr="00AE1C8F">
        <w:trPr>
          <w:trHeight w:val="32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0A528B">
              <w:rPr>
                <w:color w:val="000000"/>
                <w:szCs w:val="24"/>
              </w:rPr>
              <w:t>3.</w:t>
            </w:r>
            <w:r w:rsidRPr="000A528B">
              <w:rPr>
                <w:color w:val="000000"/>
                <w:sz w:val="14"/>
                <w:szCs w:val="14"/>
              </w:rPr>
              <w:t xml:space="preserve"> </w:t>
            </w:r>
            <w:r w:rsidRPr="000A528B">
              <w:rPr>
                <w:color w:val="000000"/>
                <w:szCs w:val="24"/>
              </w:rPr>
              <w:t>Kurzy manuální gramotnosti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3</w:t>
            </w:r>
          </w:p>
        </w:tc>
      </w:tr>
      <w:tr w:rsidR="004F5EC9" w:rsidRPr="00AA4CE1" w:rsidTr="00AE1C8F">
        <w:trPr>
          <w:trHeight w:val="32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0A528B">
              <w:rPr>
                <w:color w:val="000000"/>
                <w:szCs w:val="24"/>
              </w:rPr>
              <w:t>12.</w:t>
            </w:r>
            <w:r w:rsidRPr="000A528B">
              <w:rPr>
                <w:color w:val="000000"/>
                <w:sz w:val="14"/>
                <w:szCs w:val="14"/>
              </w:rPr>
              <w:t xml:space="preserve"> </w:t>
            </w:r>
            <w:r w:rsidRPr="000A528B">
              <w:rPr>
                <w:color w:val="000000"/>
                <w:szCs w:val="24"/>
              </w:rPr>
              <w:t>Posílení mobility vedoucích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3</w:t>
            </w:r>
          </w:p>
        </w:tc>
      </w:tr>
      <w:tr w:rsidR="004F5EC9" w:rsidRPr="00AA4CE1" w:rsidTr="00AE1C8F">
        <w:trPr>
          <w:trHeight w:val="32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0A528B">
              <w:rPr>
                <w:color w:val="000000"/>
                <w:szCs w:val="24"/>
              </w:rPr>
              <w:t>13.</w:t>
            </w:r>
            <w:r w:rsidRPr="000A528B">
              <w:rPr>
                <w:color w:val="000000"/>
                <w:sz w:val="14"/>
                <w:szCs w:val="14"/>
              </w:rPr>
              <w:t xml:space="preserve"> </w:t>
            </w:r>
            <w:r w:rsidRPr="000A528B">
              <w:rPr>
                <w:color w:val="000000"/>
                <w:szCs w:val="24"/>
              </w:rPr>
              <w:t>Akce pro mládež – taneční, společenské akce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3</w:t>
            </w:r>
          </w:p>
        </w:tc>
      </w:tr>
      <w:tr w:rsidR="004F5EC9" w:rsidRPr="00AA4CE1" w:rsidTr="00AE1C8F">
        <w:trPr>
          <w:trHeight w:val="32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0A528B">
              <w:rPr>
                <w:color w:val="000000"/>
                <w:szCs w:val="24"/>
              </w:rPr>
              <w:t>4.</w:t>
            </w:r>
            <w:r w:rsidRPr="000A528B">
              <w:rPr>
                <w:color w:val="000000"/>
                <w:sz w:val="14"/>
                <w:szCs w:val="14"/>
              </w:rPr>
              <w:t xml:space="preserve"> </w:t>
            </w:r>
            <w:r w:rsidRPr="000A528B">
              <w:rPr>
                <w:color w:val="000000"/>
                <w:szCs w:val="24"/>
              </w:rPr>
              <w:t>Bramborový kurz (bramboračka, sběr brambor,…)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4</w:t>
            </w:r>
          </w:p>
        </w:tc>
      </w:tr>
      <w:tr w:rsidR="004F5EC9" w:rsidRPr="00AA4CE1" w:rsidTr="00AE1C8F">
        <w:trPr>
          <w:trHeight w:val="32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0A528B">
              <w:rPr>
                <w:color w:val="000000"/>
                <w:szCs w:val="24"/>
              </w:rPr>
              <w:t>7.</w:t>
            </w:r>
            <w:r w:rsidRPr="000A528B">
              <w:rPr>
                <w:color w:val="000000"/>
                <w:sz w:val="14"/>
                <w:szCs w:val="14"/>
              </w:rPr>
              <w:t xml:space="preserve"> </w:t>
            </w:r>
            <w:r w:rsidRPr="000A528B">
              <w:rPr>
                <w:color w:val="000000"/>
                <w:szCs w:val="24"/>
              </w:rPr>
              <w:t>Dětské tábory – za vsí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4</w:t>
            </w:r>
          </w:p>
        </w:tc>
      </w:tr>
      <w:tr w:rsidR="004F5EC9" w:rsidRPr="00AA4CE1" w:rsidTr="00AE1C8F">
        <w:trPr>
          <w:trHeight w:val="32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0A528B">
              <w:rPr>
                <w:color w:val="000000"/>
                <w:szCs w:val="24"/>
              </w:rPr>
              <w:t>10.</w:t>
            </w:r>
            <w:r w:rsidRPr="000A528B">
              <w:rPr>
                <w:color w:val="000000"/>
                <w:sz w:val="14"/>
                <w:szCs w:val="14"/>
              </w:rPr>
              <w:t xml:space="preserve"> </w:t>
            </w:r>
            <w:r w:rsidRPr="000A528B">
              <w:rPr>
                <w:color w:val="000000"/>
                <w:szCs w:val="24"/>
              </w:rPr>
              <w:t>Brigády pro středoškoláky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4</w:t>
            </w:r>
          </w:p>
        </w:tc>
      </w:tr>
      <w:tr w:rsidR="004F5EC9" w:rsidRPr="00AA4CE1" w:rsidTr="00AE1C8F">
        <w:trPr>
          <w:trHeight w:val="32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0A528B">
              <w:rPr>
                <w:color w:val="000000"/>
                <w:szCs w:val="24"/>
              </w:rPr>
              <w:t>11.</w:t>
            </w:r>
            <w:r w:rsidRPr="000A528B">
              <w:rPr>
                <w:color w:val="000000"/>
                <w:sz w:val="14"/>
                <w:szCs w:val="14"/>
              </w:rPr>
              <w:t xml:space="preserve"> </w:t>
            </w:r>
            <w:r w:rsidRPr="000A528B">
              <w:rPr>
                <w:color w:val="000000"/>
                <w:szCs w:val="24"/>
              </w:rPr>
              <w:t>Posílení mobility dětí a mládeže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4</w:t>
            </w:r>
          </w:p>
        </w:tc>
      </w:tr>
      <w:tr w:rsidR="004F5EC9" w:rsidRPr="00AA4CE1" w:rsidTr="00AE1C8F">
        <w:trPr>
          <w:trHeight w:val="32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0A528B">
              <w:rPr>
                <w:color w:val="000000"/>
                <w:szCs w:val="24"/>
              </w:rPr>
              <w:t>17.</w:t>
            </w:r>
            <w:r w:rsidRPr="000A528B">
              <w:rPr>
                <w:color w:val="000000"/>
                <w:sz w:val="14"/>
                <w:szCs w:val="14"/>
              </w:rPr>
              <w:t xml:space="preserve"> </w:t>
            </w:r>
            <w:r w:rsidRPr="000A528B">
              <w:rPr>
                <w:color w:val="000000"/>
                <w:szCs w:val="24"/>
              </w:rPr>
              <w:t>Tematické zájezdy pro mládež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4</w:t>
            </w:r>
          </w:p>
        </w:tc>
      </w:tr>
      <w:tr w:rsidR="004F5EC9" w:rsidRPr="00AA4CE1" w:rsidTr="00AE1C8F">
        <w:trPr>
          <w:trHeight w:val="32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0A528B">
              <w:rPr>
                <w:color w:val="000000"/>
                <w:szCs w:val="24"/>
              </w:rPr>
              <w:t>6.</w:t>
            </w:r>
            <w:r w:rsidRPr="000A528B">
              <w:rPr>
                <w:color w:val="000000"/>
                <w:sz w:val="14"/>
                <w:szCs w:val="14"/>
              </w:rPr>
              <w:t xml:space="preserve"> </w:t>
            </w:r>
            <w:r w:rsidRPr="000A528B">
              <w:rPr>
                <w:color w:val="000000"/>
                <w:szCs w:val="24"/>
              </w:rPr>
              <w:t>Skauting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5</w:t>
            </w:r>
          </w:p>
        </w:tc>
      </w:tr>
      <w:tr w:rsidR="004F5EC9" w:rsidRPr="00AA4CE1" w:rsidTr="00AE1C8F">
        <w:trPr>
          <w:trHeight w:val="32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0A528B">
              <w:rPr>
                <w:color w:val="000000"/>
                <w:szCs w:val="24"/>
              </w:rPr>
              <w:t>8.</w:t>
            </w:r>
            <w:r w:rsidRPr="000A528B">
              <w:rPr>
                <w:color w:val="000000"/>
                <w:sz w:val="14"/>
                <w:szCs w:val="14"/>
              </w:rPr>
              <w:t xml:space="preserve"> </w:t>
            </w:r>
            <w:r w:rsidRPr="000A528B">
              <w:rPr>
                <w:color w:val="000000"/>
                <w:szCs w:val="24"/>
              </w:rPr>
              <w:t>Tematické dětské tábory (taneční,…)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5</w:t>
            </w:r>
          </w:p>
        </w:tc>
      </w:tr>
      <w:tr w:rsidR="004F5EC9" w:rsidRPr="00AA4CE1" w:rsidTr="00AE1C8F">
        <w:trPr>
          <w:trHeight w:val="32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0A528B">
              <w:rPr>
                <w:color w:val="000000"/>
                <w:szCs w:val="24"/>
              </w:rPr>
              <w:t>9.</w:t>
            </w:r>
            <w:r w:rsidRPr="000A528B">
              <w:rPr>
                <w:color w:val="000000"/>
                <w:sz w:val="14"/>
                <w:szCs w:val="14"/>
              </w:rPr>
              <w:t xml:space="preserve"> </w:t>
            </w:r>
            <w:r w:rsidRPr="000A528B">
              <w:rPr>
                <w:color w:val="000000"/>
                <w:szCs w:val="24"/>
              </w:rPr>
              <w:t>Kurzy lokálního patriotismu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5</w:t>
            </w:r>
          </w:p>
        </w:tc>
      </w:tr>
      <w:tr w:rsidR="004F5EC9" w:rsidRPr="00AA4CE1" w:rsidTr="00AE1C8F">
        <w:trPr>
          <w:trHeight w:val="32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0A528B">
              <w:rPr>
                <w:color w:val="000000"/>
                <w:szCs w:val="24"/>
              </w:rPr>
              <w:t>14.</w:t>
            </w:r>
            <w:r w:rsidRPr="000A528B">
              <w:rPr>
                <w:color w:val="000000"/>
                <w:sz w:val="14"/>
                <w:szCs w:val="14"/>
              </w:rPr>
              <w:t xml:space="preserve"> </w:t>
            </w:r>
            <w:r w:rsidRPr="000A528B">
              <w:rPr>
                <w:color w:val="000000"/>
                <w:szCs w:val="24"/>
              </w:rPr>
              <w:t>Výměnné pobyty pro mládež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5</w:t>
            </w:r>
          </w:p>
        </w:tc>
      </w:tr>
      <w:tr w:rsidR="004F5EC9" w:rsidRPr="00AA4CE1" w:rsidTr="00AE1C8F">
        <w:trPr>
          <w:trHeight w:val="32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0A528B">
              <w:rPr>
                <w:color w:val="000000"/>
                <w:szCs w:val="24"/>
              </w:rPr>
              <w:t>15.</w:t>
            </w:r>
            <w:r w:rsidRPr="000A528B">
              <w:rPr>
                <w:color w:val="000000"/>
                <w:sz w:val="14"/>
                <w:szCs w:val="14"/>
              </w:rPr>
              <w:t xml:space="preserve"> </w:t>
            </w:r>
            <w:r w:rsidRPr="000A528B">
              <w:rPr>
                <w:color w:val="000000"/>
                <w:szCs w:val="24"/>
              </w:rPr>
              <w:t>Tematické pobyty pro mládež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5</w:t>
            </w:r>
          </w:p>
        </w:tc>
      </w:tr>
      <w:tr w:rsidR="004F5EC9" w:rsidRPr="00AA4CE1" w:rsidTr="00AE1C8F">
        <w:trPr>
          <w:trHeight w:val="32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0A528B">
              <w:rPr>
                <w:color w:val="000000"/>
                <w:szCs w:val="24"/>
              </w:rPr>
              <w:t>16.</w:t>
            </w:r>
            <w:r w:rsidRPr="000A528B">
              <w:rPr>
                <w:color w:val="000000"/>
                <w:sz w:val="14"/>
                <w:szCs w:val="14"/>
              </w:rPr>
              <w:t xml:space="preserve"> </w:t>
            </w:r>
            <w:r w:rsidRPr="000A528B">
              <w:rPr>
                <w:color w:val="000000"/>
                <w:szCs w:val="24"/>
              </w:rPr>
              <w:t>Čajovny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0A528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0A528B">
              <w:rPr>
                <w:bCs/>
                <w:color w:val="000000"/>
              </w:rPr>
              <w:t>5</w:t>
            </w:r>
          </w:p>
        </w:tc>
      </w:tr>
    </w:tbl>
    <w:p w:rsidR="004F5EC9" w:rsidRPr="00D02B0B" w:rsidRDefault="004F5EC9" w:rsidP="004F5EC9">
      <w:pPr>
        <w:rPr>
          <w:sz w:val="22"/>
        </w:rPr>
      </w:pPr>
      <w:r w:rsidRPr="00D02B0B">
        <w:rPr>
          <w:sz w:val="22"/>
        </w:rPr>
        <w:t>Zdroj: PS „Mezilidské vztahy“, 25.</w:t>
      </w:r>
      <w:r>
        <w:rPr>
          <w:sz w:val="22"/>
        </w:rPr>
        <w:t xml:space="preserve"> </w:t>
      </w:r>
      <w:r w:rsidRPr="00D02B0B">
        <w:rPr>
          <w:sz w:val="22"/>
        </w:rPr>
        <w:t>6.</w:t>
      </w:r>
      <w:r>
        <w:rPr>
          <w:sz w:val="22"/>
        </w:rPr>
        <w:t xml:space="preserve"> </w:t>
      </w:r>
      <w:r w:rsidRPr="00D02B0B">
        <w:rPr>
          <w:sz w:val="22"/>
        </w:rPr>
        <w:t>2014</w:t>
      </w:r>
    </w:p>
    <w:p w:rsidR="004F5EC9" w:rsidRPr="000A528B" w:rsidRDefault="004F5EC9" w:rsidP="004F5EC9">
      <w:pPr>
        <w:pStyle w:val="Normostrana"/>
        <w:rPr>
          <w:szCs w:val="20"/>
          <w:lang w:eastAsia="cs-CZ"/>
        </w:rPr>
      </w:pPr>
    </w:p>
    <w:p w:rsidR="004F5EC9" w:rsidRPr="00B042B1" w:rsidRDefault="004F5EC9" w:rsidP="004F5EC9">
      <w:pPr>
        <w:pStyle w:val="Titulek"/>
        <w:rPr>
          <w:color w:val="auto"/>
          <w:sz w:val="24"/>
          <w:szCs w:val="24"/>
        </w:rPr>
      </w:pPr>
      <w:bookmarkStart w:id="13" w:name="_Toc445458979"/>
      <w:bookmarkStart w:id="14" w:name="_Toc446407723"/>
      <w:r w:rsidRPr="00B042B1">
        <w:rPr>
          <w:b/>
          <w:color w:val="auto"/>
          <w:sz w:val="24"/>
          <w:szCs w:val="24"/>
        </w:rPr>
        <w:t xml:space="preserve">Tabulka </w:t>
      </w:r>
      <w:r w:rsidR="00744FAE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744FAE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98</w:t>
      </w:r>
      <w:r w:rsidR="00744FAE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>Návrhy řešení identifikovaných příčin analyzovaného problému „předškolní výchova“</w:t>
      </w:r>
      <w:bookmarkEnd w:id="13"/>
      <w:bookmarkEnd w:id="14"/>
    </w:p>
    <w:tbl>
      <w:tblPr>
        <w:tblpPr w:leftFromText="142" w:rightFromText="142" w:vertAnchor="text" w:horzAnchor="margin" w:tblpY="52"/>
        <w:tblOverlap w:val="never"/>
        <w:tblW w:w="9426" w:type="dxa"/>
        <w:tblCellMar>
          <w:left w:w="70" w:type="dxa"/>
          <w:right w:w="70" w:type="dxa"/>
        </w:tblCellMar>
        <w:tblLook w:val="04A0"/>
      </w:tblPr>
      <w:tblGrid>
        <w:gridCol w:w="7441"/>
        <w:gridCol w:w="1985"/>
      </w:tblGrid>
      <w:tr w:rsidR="004F5EC9" w:rsidRPr="00AA4CE1" w:rsidTr="00AE1C8F">
        <w:trPr>
          <w:trHeight w:val="567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4F5EC9" w:rsidRPr="005A061D" w:rsidRDefault="004F5EC9" w:rsidP="00AE1C8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highlight w:val="magenta"/>
              </w:rPr>
            </w:pPr>
            <w:r w:rsidRPr="005A061D">
              <w:rPr>
                <w:b/>
                <w:bCs/>
                <w:color w:val="000000"/>
                <w:sz w:val="26"/>
                <w:szCs w:val="26"/>
                <w:highlight w:val="magenta"/>
              </w:rPr>
              <w:t>3. Předškolní výchova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4F5EC9" w:rsidRPr="005A061D" w:rsidRDefault="004F5EC9" w:rsidP="00AE1C8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highlight w:val="magenta"/>
              </w:rPr>
            </w:pPr>
            <w:r w:rsidRPr="005A061D">
              <w:rPr>
                <w:b/>
                <w:bCs/>
                <w:color w:val="000000"/>
                <w:sz w:val="26"/>
                <w:szCs w:val="26"/>
                <w:highlight w:val="magenta"/>
              </w:rPr>
              <w:t>Pořadí důležitosti</w:t>
            </w:r>
          </w:p>
        </w:tc>
      </w:tr>
      <w:tr w:rsidR="004F5EC9" w:rsidRPr="00AA4CE1" w:rsidTr="00AE1C8F">
        <w:trPr>
          <w:trHeight w:val="326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2.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Vyhledávání kurzů, aktivit společných pro rodiče a děti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1</w:t>
            </w:r>
          </w:p>
        </w:tc>
      </w:tr>
      <w:tr w:rsidR="004F5EC9" w:rsidRPr="00AA4CE1" w:rsidTr="00AE1C8F">
        <w:trPr>
          <w:trHeight w:val="326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3.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Letní tábory pro rodiče s dětmi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2</w:t>
            </w:r>
          </w:p>
        </w:tc>
      </w:tr>
      <w:tr w:rsidR="004F5EC9" w:rsidRPr="00AA4CE1" w:rsidTr="00AE1C8F">
        <w:trPr>
          <w:trHeight w:val="326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4.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Podpora alternativní péče o děti (dětské skupiny,…)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2</w:t>
            </w:r>
          </w:p>
        </w:tc>
      </w:tr>
      <w:tr w:rsidR="004F5EC9" w:rsidRPr="00AA4CE1" w:rsidTr="00AE1C8F">
        <w:trPr>
          <w:trHeight w:val="326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10.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Lyžařské školičky = aplikace i v jiných aktivitách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2</w:t>
            </w:r>
          </w:p>
        </w:tc>
      </w:tr>
      <w:tr w:rsidR="004F5EC9" w:rsidRPr="00AA4CE1" w:rsidTr="00AE1C8F">
        <w:trPr>
          <w:trHeight w:val="326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5.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Vyhledávání vhodných lidí na hlídání dětí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3</w:t>
            </w:r>
          </w:p>
        </w:tc>
      </w:tr>
      <w:tr w:rsidR="004F5EC9" w:rsidRPr="00AA4CE1" w:rsidTr="00AE1C8F">
        <w:trPr>
          <w:trHeight w:val="326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7.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Čtení pro rodiče s dětmi v knihovně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3</w:t>
            </w:r>
          </w:p>
        </w:tc>
      </w:tr>
      <w:tr w:rsidR="004F5EC9" w:rsidRPr="00AA4CE1" w:rsidTr="00AE1C8F">
        <w:trPr>
          <w:trHeight w:val="326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9.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Lesní školky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3</w:t>
            </w:r>
          </w:p>
        </w:tc>
      </w:tr>
      <w:tr w:rsidR="004F5EC9" w:rsidRPr="00AA4CE1" w:rsidTr="00AE1C8F">
        <w:trPr>
          <w:trHeight w:val="326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1.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Cvičení rodičů a dětí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4</w:t>
            </w:r>
          </w:p>
        </w:tc>
      </w:tr>
      <w:tr w:rsidR="004F5EC9" w:rsidRPr="00AA4CE1" w:rsidTr="00AE1C8F">
        <w:trPr>
          <w:trHeight w:val="326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6.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Podpora mateřských center nebo klubů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4</w:t>
            </w:r>
          </w:p>
        </w:tc>
      </w:tr>
      <w:tr w:rsidR="004F5EC9" w:rsidRPr="00AA4CE1" w:rsidTr="00AE1C8F">
        <w:trPr>
          <w:trHeight w:val="326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8.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Sportovní kroužky pro předškolní děti (3-5 let – fotbal,…)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4</w:t>
            </w:r>
          </w:p>
        </w:tc>
      </w:tr>
    </w:tbl>
    <w:p w:rsidR="004F5EC9" w:rsidRPr="00D02B0B" w:rsidRDefault="004F5EC9" w:rsidP="004F5EC9">
      <w:pPr>
        <w:rPr>
          <w:sz w:val="22"/>
        </w:rPr>
      </w:pPr>
      <w:r w:rsidRPr="00D02B0B">
        <w:rPr>
          <w:sz w:val="22"/>
        </w:rPr>
        <w:t>Zdroj: PS „Mezilidské vztahy“, 25.</w:t>
      </w:r>
      <w:r>
        <w:rPr>
          <w:sz w:val="22"/>
        </w:rPr>
        <w:t xml:space="preserve"> </w:t>
      </w:r>
      <w:r w:rsidRPr="00D02B0B">
        <w:rPr>
          <w:sz w:val="22"/>
        </w:rPr>
        <w:t>6.</w:t>
      </w:r>
      <w:r>
        <w:rPr>
          <w:sz w:val="22"/>
        </w:rPr>
        <w:t xml:space="preserve"> </w:t>
      </w:r>
      <w:r w:rsidRPr="00D02B0B">
        <w:rPr>
          <w:sz w:val="22"/>
        </w:rPr>
        <w:t>2014</w:t>
      </w:r>
    </w:p>
    <w:p w:rsidR="004F5EC9" w:rsidRDefault="004F5EC9" w:rsidP="004F5EC9"/>
    <w:p w:rsidR="004F5EC9" w:rsidRPr="00B042B1" w:rsidRDefault="004F5EC9" w:rsidP="004F5EC9">
      <w:pPr>
        <w:pStyle w:val="Titulek"/>
        <w:rPr>
          <w:color w:val="auto"/>
          <w:sz w:val="24"/>
          <w:szCs w:val="24"/>
        </w:rPr>
      </w:pPr>
      <w:bookmarkStart w:id="15" w:name="_Toc445458980"/>
      <w:bookmarkStart w:id="16" w:name="_Toc446407724"/>
      <w:r w:rsidRPr="00B042B1">
        <w:rPr>
          <w:b/>
          <w:color w:val="auto"/>
          <w:sz w:val="24"/>
          <w:szCs w:val="24"/>
        </w:rPr>
        <w:lastRenderedPageBreak/>
        <w:t xml:space="preserve">Tabulka </w:t>
      </w:r>
      <w:r w:rsidR="00744FAE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744FAE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99</w:t>
      </w:r>
      <w:r w:rsidR="00744FAE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>Návrhy řešení identifikovaných příčin analyzovaného problému „školy a další vzdělávání“</w:t>
      </w:r>
      <w:bookmarkEnd w:id="15"/>
      <w:bookmarkEnd w:id="16"/>
    </w:p>
    <w:tbl>
      <w:tblPr>
        <w:tblpPr w:leftFromText="142" w:rightFromText="142" w:vertAnchor="text" w:horzAnchor="margin" w:tblpY="1"/>
        <w:tblOverlap w:val="never"/>
        <w:tblW w:w="9426" w:type="dxa"/>
        <w:tblCellMar>
          <w:left w:w="70" w:type="dxa"/>
          <w:right w:w="70" w:type="dxa"/>
        </w:tblCellMar>
        <w:tblLook w:val="04A0"/>
      </w:tblPr>
      <w:tblGrid>
        <w:gridCol w:w="7441"/>
        <w:gridCol w:w="1985"/>
      </w:tblGrid>
      <w:tr w:rsidR="004F5EC9" w:rsidRPr="00AA4CE1" w:rsidTr="00AE1C8F">
        <w:trPr>
          <w:trHeight w:val="567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4F5EC9" w:rsidRPr="005A061D" w:rsidRDefault="004F5EC9" w:rsidP="00AE1C8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highlight w:val="magenta"/>
              </w:rPr>
            </w:pPr>
            <w:r w:rsidRPr="005A061D">
              <w:rPr>
                <w:b/>
                <w:bCs/>
                <w:color w:val="000000"/>
                <w:sz w:val="26"/>
                <w:szCs w:val="26"/>
                <w:highlight w:val="magenta"/>
              </w:rPr>
              <w:t>4. Školy a další vzdělávání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4F5EC9" w:rsidRPr="005A061D" w:rsidRDefault="004F5EC9" w:rsidP="00AE1C8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highlight w:val="magenta"/>
              </w:rPr>
            </w:pPr>
            <w:r w:rsidRPr="005A061D">
              <w:rPr>
                <w:b/>
                <w:bCs/>
                <w:color w:val="000000"/>
                <w:sz w:val="26"/>
                <w:szCs w:val="26"/>
                <w:highlight w:val="magenta"/>
              </w:rPr>
              <w:t>Pořadí důležitosti</w:t>
            </w:r>
          </w:p>
        </w:tc>
      </w:tr>
      <w:tr w:rsidR="004F5EC9" w:rsidRPr="00AA4CE1" w:rsidTr="00AE1C8F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10.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Lokální učebnice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1</w:t>
            </w:r>
          </w:p>
        </w:tc>
      </w:tr>
      <w:tr w:rsidR="004F5EC9" w:rsidRPr="00AA4CE1" w:rsidTr="00AE1C8F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3.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Využití dětí a mládeže jako lektorů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2</w:t>
            </w:r>
          </w:p>
        </w:tc>
      </w:tr>
      <w:tr w:rsidR="004F5EC9" w:rsidRPr="00AA4CE1" w:rsidTr="00AE1C8F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9.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Využití neučitelských lektorů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2</w:t>
            </w:r>
          </w:p>
        </w:tc>
      </w:tr>
      <w:tr w:rsidR="004F5EC9" w:rsidRPr="00AA4CE1" w:rsidTr="00AE1C8F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1.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Setkávání ředitelů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3</w:t>
            </w:r>
          </w:p>
        </w:tc>
      </w:tr>
      <w:tr w:rsidR="004F5EC9" w:rsidRPr="00AA4CE1" w:rsidTr="00AE1C8F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13.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Kurz venkovské soběstačnosti (bez elektřiny…)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3</w:t>
            </w:r>
          </w:p>
        </w:tc>
      </w:tr>
      <w:tr w:rsidR="004F5EC9" w:rsidRPr="00AA4CE1" w:rsidTr="00AE1C8F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2.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Využití ZŠ jako komunitních škol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4</w:t>
            </w:r>
          </w:p>
        </w:tc>
      </w:tr>
      <w:tr w:rsidR="004F5EC9" w:rsidRPr="00AA4CE1" w:rsidTr="00AE1C8F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4.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Jazykové kurzy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4</w:t>
            </w:r>
          </w:p>
        </w:tc>
      </w:tr>
      <w:tr w:rsidR="004F5EC9" w:rsidRPr="00AA4CE1" w:rsidTr="00AE1C8F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5.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Kurzy počítačové gramotnosti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4</w:t>
            </w:r>
          </w:p>
        </w:tc>
      </w:tr>
      <w:tr w:rsidR="004F5EC9" w:rsidRPr="00AA4CE1" w:rsidTr="00AE1C8F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7.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Podporovat venkovskost venkovských škol (včelaření, sadaření,…)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4</w:t>
            </w:r>
          </w:p>
        </w:tc>
      </w:tr>
      <w:tr w:rsidR="004F5EC9" w:rsidRPr="00AA4CE1" w:rsidTr="00AE1C8F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8.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Využití a obnova školních zahrad a sadů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4</w:t>
            </w:r>
          </w:p>
        </w:tc>
      </w:tr>
      <w:tr w:rsidR="004F5EC9" w:rsidRPr="00AA4CE1" w:rsidTr="00AE1C8F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12.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Finanční gramotnost pro život na venkově (zem. půda)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4</w:t>
            </w:r>
          </w:p>
        </w:tc>
      </w:tr>
      <w:tr w:rsidR="004F5EC9" w:rsidRPr="00AA4CE1" w:rsidTr="00AE1C8F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6.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Propojení aktivit spolk</w:t>
            </w:r>
            <w:r>
              <w:rPr>
                <w:color w:val="000000"/>
                <w:szCs w:val="24"/>
              </w:rPr>
              <w:t>ů a škol (včelařství, zahrádkářství</w:t>
            </w:r>
            <w:r w:rsidRPr="00AA4CE1">
              <w:rPr>
                <w:color w:val="000000"/>
                <w:szCs w:val="24"/>
              </w:rPr>
              <w:t>,…)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5</w:t>
            </w:r>
          </w:p>
        </w:tc>
      </w:tr>
      <w:tr w:rsidR="004F5EC9" w:rsidRPr="00AA4CE1" w:rsidTr="00AE1C8F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11.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Využít chataře a chalupáře – jejich znalostí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5</w:t>
            </w:r>
          </w:p>
        </w:tc>
      </w:tr>
      <w:tr w:rsidR="004F5EC9" w:rsidRPr="00AA4CE1" w:rsidTr="00AE1C8F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14.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Sběr pamětí od pamětníků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5</w:t>
            </w:r>
          </w:p>
        </w:tc>
      </w:tr>
      <w:tr w:rsidR="004F5EC9" w:rsidRPr="00AA4CE1" w:rsidTr="00AE1C8F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15.</w:t>
            </w:r>
            <w:r>
              <w:rPr>
                <w:color w:val="000000"/>
                <w:sz w:val="14"/>
                <w:szCs w:val="14"/>
              </w:rPr>
              <w:t> </w:t>
            </w:r>
            <w:r w:rsidRPr="00AA4CE1">
              <w:rPr>
                <w:color w:val="000000"/>
                <w:szCs w:val="24"/>
              </w:rPr>
              <w:t>Sběr zkušeností od pamětníků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5</w:t>
            </w:r>
          </w:p>
        </w:tc>
      </w:tr>
    </w:tbl>
    <w:p w:rsidR="004F5EC9" w:rsidRDefault="004F5EC9" w:rsidP="004F5EC9">
      <w:pPr>
        <w:tabs>
          <w:tab w:val="center" w:pos="4819"/>
        </w:tabs>
        <w:rPr>
          <w:sz w:val="22"/>
        </w:rPr>
      </w:pPr>
      <w:r w:rsidRPr="00D02B0B">
        <w:rPr>
          <w:sz w:val="22"/>
        </w:rPr>
        <w:t>Zdroj: PS „Mezilidské vztahy“, 25.6.2014</w:t>
      </w:r>
      <w:r>
        <w:rPr>
          <w:sz w:val="22"/>
        </w:rPr>
        <w:tab/>
      </w:r>
    </w:p>
    <w:p w:rsidR="004F5EC9" w:rsidRDefault="004F5EC9" w:rsidP="004F5EC9">
      <w:pPr>
        <w:tabs>
          <w:tab w:val="center" w:pos="4819"/>
        </w:tabs>
        <w:rPr>
          <w:sz w:val="22"/>
        </w:rPr>
      </w:pPr>
    </w:p>
    <w:p w:rsidR="004F5EC9" w:rsidRPr="00B042B1" w:rsidRDefault="004F5EC9" w:rsidP="004F5EC9">
      <w:pPr>
        <w:pStyle w:val="Titulek"/>
        <w:rPr>
          <w:color w:val="auto"/>
          <w:sz w:val="24"/>
          <w:szCs w:val="24"/>
        </w:rPr>
      </w:pPr>
      <w:bookmarkStart w:id="17" w:name="_Toc445458981"/>
      <w:bookmarkStart w:id="18" w:name="_Toc446407725"/>
      <w:r w:rsidRPr="00B042B1">
        <w:rPr>
          <w:b/>
          <w:color w:val="auto"/>
          <w:sz w:val="24"/>
          <w:szCs w:val="24"/>
        </w:rPr>
        <w:t xml:space="preserve">Tabulka </w:t>
      </w:r>
      <w:r w:rsidR="00744FAE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744FAE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100</w:t>
      </w:r>
      <w:r w:rsidR="00744FAE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>Návrhy řešení identifikovaných příčin analyzovaného problému „sociální péče - senioři“</w:t>
      </w:r>
      <w:bookmarkEnd w:id="17"/>
      <w:bookmarkEnd w:id="18"/>
    </w:p>
    <w:tbl>
      <w:tblPr>
        <w:tblpPr w:leftFromText="142" w:rightFromText="142" w:vertAnchor="text" w:horzAnchor="margin" w:tblpY="1"/>
        <w:tblOverlap w:val="never"/>
        <w:tblW w:w="9426" w:type="dxa"/>
        <w:tblCellMar>
          <w:left w:w="70" w:type="dxa"/>
          <w:right w:w="70" w:type="dxa"/>
        </w:tblCellMar>
        <w:tblLook w:val="04A0"/>
      </w:tblPr>
      <w:tblGrid>
        <w:gridCol w:w="7441"/>
        <w:gridCol w:w="1985"/>
      </w:tblGrid>
      <w:tr w:rsidR="004F5EC9" w:rsidRPr="00325DCA" w:rsidTr="00AE1C8F">
        <w:trPr>
          <w:trHeight w:val="567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4F5EC9" w:rsidRPr="005A061D" w:rsidRDefault="004F5EC9" w:rsidP="00AE1C8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highlight w:val="magenta"/>
              </w:rPr>
            </w:pPr>
            <w:r w:rsidRPr="005A061D">
              <w:rPr>
                <w:b/>
                <w:bCs/>
                <w:color w:val="000000"/>
                <w:sz w:val="26"/>
                <w:szCs w:val="26"/>
                <w:highlight w:val="magenta"/>
              </w:rPr>
              <w:t>5. Sociální péče - senioři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4F5EC9" w:rsidRPr="005A061D" w:rsidRDefault="004F5EC9" w:rsidP="00AE1C8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highlight w:val="magenta"/>
              </w:rPr>
            </w:pPr>
            <w:r w:rsidRPr="005A061D">
              <w:rPr>
                <w:b/>
                <w:bCs/>
                <w:color w:val="000000"/>
                <w:sz w:val="26"/>
                <w:szCs w:val="26"/>
                <w:highlight w:val="magenta"/>
              </w:rPr>
              <w:t>Pořadí důležitosti</w:t>
            </w:r>
          </w:p>
        </w:tc>
      </w:tr>
      <w:tr w:rsidR="004F5EC9" w:rsidRPr="00325DCA" w:rsidTr="00AE1C8F">
        <w:trPr>
          <w:trHeight w:val="326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3.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Organizace setkávání důchodců (zde osvěta, vzdělávání)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1</w:t>
            </w:r>
          </w:p>
        </w:tc>
      </w:tr>
      <w:tr w:rsidR="004F5EC9" w:rsidRPr="00325DCA" w:rsidTr="00AE1C8F">
        <w:trPr>
          <w:trHeight w:val="326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2.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Rozvoj pečovatelské služby na osobním kontaktu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2</w:t>
            </w:r>
          </w:p>
        </w:tc>
      </w:tr>
      <w:tr w:rsidR="004F5EC9" w:rsidRPr="00325DCA" w:rsidTr="00AE1C8F">
        <w:trPr>
          <w:trHeight w:val="326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4.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Vzdělávání neseniorů – kurzy první pomoci (seniorům při kolapsu,…)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2</w:t>
            </w:r>
          </w:p>
        </w:tc>
      </w:tr>
      <w:tr w:rsidR="004F5EC9" w:rsidRPr="00325DCA" w:rsidTr="00AE1C8F">
        <w:trPr>
          <w:trHeight w:val="326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6.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Databáze lidí rekvalifikovaných v oboru se zájmem v oboru podnikat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3</w:t>
            </w:r>
          </w:p>
        </w:tc>
      </w:tr>
      <w:tr w:rsidR="004F5EC9" w:rsidRPr="00325DCA" w:rsidTr="00AE1C8F">
        <w:trPr>
          <w:trHeight w:val="326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1.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Umožnit seniorům zůstat doma co nejdéle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4</w:t>
            </w:r>
          </w:p>
        </w:tc>
      </w:tr>
      <w:tr w:rsidR="004F5EC9" w:rsidRPr="00325DCA" w:rsidTr="00AE1C8F">
        <w:trPr>
          <w:trHeight w:val="326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5.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Vzdělávání lidí – uspořádání bezpečného bytu pro seniory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4</w:t>
            </w:r>
          </w:p>
        </w:tc>
      </w:tr>
      <w:tr w:rsidR="004F5EC9" w:rsidRPr="00325DCA" w:rsidTr="00AE1C8F">
        <w:trPr>
          <w:trHeight w:val="326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7.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Cs w:val="24"/>
              </w:rPr>
              <w:t>Databáze odborníků na peč. s</w:t>
            </w:r>
            <w:r w:rsidRPr="00AA4CE1">
              <w:rPr>
                <w:color w:val="000000"/>
                <w:szCs w:val="24"/>
              </w:rPr>
              <w:t>lužbu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A061D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A061D">
              <w:rPr>
                <w:bCs/>
                <w:color w:val="000000"/>
              </w:rPr>
              <w:t>5</w:t>
            </w:r>
          </w:p>
        </w:tc>
      </w:tr>
    </w:tbl>
    <w:p w:rsidR="004F5EC9" w:rsidRDefault="004F5EC9" w:rsidP="004F5EC9">
      <w:pPr>
        <w:rPr>
          <w:sz w:val="22"/>
        </w:rPr>
      </w:pPr>
      <w:r w:rsidRPr="00D02B0B">
        <w:rPr>
          <w:sz w:val="22"/>
        </w:rPr>
        <w:t>Zdroj: PS „Mezilidské vztahy“, 25.</w:t>
      </w:r>
      <w:r>
        <w:rPr>
          <w:sz w:val="22"/>
        </w:rPr>
        <w:t xml:space="preserve"> </w:t>
      </w:r>
      <w:r w:rsidRPr="00D02B0B">
        <w:rPr>
          <w:sz w:val="22"/>
        </w:rPr>
        <w:t>6.</w:t>
      </w:r>
      <w:r>
        <w:rPr>
          <w:sz w:val="22"/>
        </w:rPr>
        <w:t xml:space="preserve"> </w:t>
      </w:r>
      <w:r w:rsidRPr="00D02B0B">
        <w:rPr>
          <w:sz w:val="22"/>
        </w:rPr>
        <w:t>2014</w:t>
      </w:r>
    </w:p>
    <w:p w:rsidR="004F5EC9" w:rsidRPr="005A061D" w:rsidRDefault="004F5EC9" w:rsidP="004F5EC9">
      <w:pPr>
        <w:spacing w:after="160" w:line="259" w:lineRule="auto"/>
        <w:jc w:val="left"/>
        <w:rPr>
          <w:sz w:val="22"/>
        </w:rPr>
      </w:pPr>
      <w:r>
        <w:rPr>
          <w:sz w:val="22"/>
        </w:rPr>
        <w:br w:type="page"/>
      </w:r>
    </w:p>
    <w:p w:rsidR="004F5EC9" w:rsidRPr="00B042B1" w:rsidRDefault="004F5EC9" w:rsidP="004F5EC9">
      <w:pPr>
        <w:pStyle w:val="Titulek"/>
        <w:rPr>
          <w:color w:val="auto"/>
          <w:sz w:val="24"/>
          <w:szCs w:val="24"/>
        </w:rPr>
      </w:pPr>
      <w:bookmarkStart w:id="19" w:name="_Toc445458982"/>
      <w:bookmarkStart w:id="20" w:name="_Toc446407726"/>
      <w:r w:rsidRPr="00B042B1">
        <w:rPr>
          <w:b/>
          <w:color w:val="auto"/>
          <w:sz w:val="24"/>
          <w:szCs w:val="24"/>
        </w:rPr>
        <w:lastRenderedPageBreak/>
        <w:t xml:space="preserve">Tabulka </w:t>
      </w:r>
      <w:r w:rsidR="00744FAE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744FAE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101</w:t>
      </w:r>
      <w:r w:rsidR="00744FAE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color w:val="auto"/>
          <w:sz w:val="24"/>
          <w:szCs w:val="24"/>
        </w:rPr>
        <w:t>: Návrhy řešení identifikovaných příčin analyzovaného problému „zdravotní péče“</w:t>
      </w:r>
      <w:bookmarkEnd w:id="19"/>
      <w:bookmarkEnd w:id="20"/>
    </w:p>
    <w:tbl>
      <w:tblPr>
        <w:tblpPr w:leftFromText="142" w:rightFromText="142" w:vertAnchor="text" w:horzAnchor="margin" w:tblpY="1"/>
        <w:tblOverlap w:val="never"/>
        <w:tblW w:w="9426" w:type="dxa"/>
        <w:tblCellMar>
          <w:left w:w="70" w:type="dxa"/>
          <w:right w:w="70" w:type="dxa"/>
        </w:tblCellMar>
        <w:tblLook w:val="04A0"/>
      </w:tblPr>
      <w:tblGrid>
        <w:gridCol w:w="7441"/>
        <w:gridCol w:w="1985"/>
      </w:tblGrid>
      <w:tr w:rsidR="004F5EC9" w:rsidRPr="00325DCA" w:rsidTr="00AE1C8F">
        <w:trPr>
          <w:trHeight w:val="567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4F5EC9" w:rsidRPr="005E76AB" w:rsidRDefault="004F5EC9" w:rsidP="00AE1C8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highlight w:val="magenta"/>
              </w:rPr>
            </w:pPr>
            <w:r w:rsidRPr="005E76AB">
              <w:rPr>
                <w:b/>
                <w:bCs/>
                <w:color w:val="000000"/>
                <w:sz w:val="26"/>
                <w:szCs w:val="26"/>
                <w:highlight w:val="magenta"/>
              </w:rPr>
              <w:t>6. Zdravotní péče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4F5EC9" w:rsidRPr="005E76AB" w:rsidRDefault="004F5EC9" w:rsidP="00AE1C8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highlight w:val="magenta"/>
              </w:rPr>
            </w:pPr>
            <w:r w:rsidRPr="005E76AB">
              <w:rPr>
                <w:b/>
                <w:bCs/>
                <w:color w:val="000000"/>
                <w:sz w:val="26"/>
                <w:szCs w:val="26"/>
                <w:highlight w:val="magenta"/>
              </w:rPr>
              <w:t>Pořadí důležitosti</w:t>
            </w:r>
          </w:p>
        </w:tc>
      </w:tr>
      <w:tr w:rsidR="004F5EC9" w:rsidRPr="00325DCA" w:rsidTr="00AE1C8F">
        <w:trPr>
          <w:trHeight w:val="324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482336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482336">
              <w:rPr>
                <w:color w:val="000000"/>
                <w:szCs w:val="24"/>
              </w:rPr>
              <w:t>1.</w:t>
            </w:r>
            <w:r w:rsidRPr="00482336">
              <w:rPr>
                <w:color w:val="000000"/>
                <w:sz w:val="14"/>
                <w:szCs w:val="14"/>
              </w:rPr>
              <w:t xml:space="preserve"> </w:t>
            </w:r>
            <w:r w:rsidRPr="00482336">
              <w:rPr>
                <w:color w:val="000000"/>
                <w:szCs w:val="24"/>
              </w:rPr>
              <w:t>Osvěta – zdravý životní styl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E76A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E76AB">
              <w:rPr>
                <w:bCs/>
                <w:color w:val="000000"/>
              </w:rPr>
              <w:t>1</w:t>
            </w:r>
          </w:p>
        </w:tc>
      </w:tr>
      <w:tr w:rsidR="004F5EC9" w:rsidRPr="00325DCA" w:rsidTr="00AE1C8F">
        <w:trPr>
          <w:trHeight w:val="324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482336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482336">
              <w:rPr>
                <w:color w:val="000000"/>
                <w:szCs w:val="24"/>
              </w:rPr>
              <w:t>2.</w:t>
            </w:r>
            <w:r w:rsidRPr="00482336">
              <w:rPr>
                <w:color w:val="000000"/>
                <w:sz w:val="14"/>
                <w:szCs w:val="14"/>
              </w:rPr>
              <w:t xml:space="preserve"> </w:t>
            </w:r>
            <w:r w:rsidRPr="00482336">
              <w:rPr>
                <w:color w:val="000000"/>
                <w:szCs w:val="24"/>
              </w:rPr>
              <w:t>Bylinkářství – kurzy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E76A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E76AB">
              <w:rPr>
                <w:bCs/>
                <w:color w:val="000000"/>
              </w:rPr>
              <w:t>2</w:t>
            </w:r>
          </w:p>
        </w:tc>
      </w:tr>
      <w:tr w:rsidR="004F5EC9" w:rsidRPr="00325DCA" w:rsidTr="00AE1C8F">
        <w:trPr>
          <w:trHeight w:val="324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482336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482336">
              <w:rPr>
                <w:color w:val="000000"/>
                <w:szCs w:val="24"/>
              </w:rPr>
              <w:t>5.</w:t>
            </w:r>
            <w:r w:rsidRPr="00482336">
              <w:rPr>
                <w:color w:val="000000"/>
                <w:sz w:val="14"/>
                <w:szCs w:val="14"/>
              </w:rPr>
              <w:t xml:space="preserve"> </w:t>
            </w:r>
            <w:r w:rsidRPr="00482336">
              <w:rPr>
                <w:color w:val="000000"/>
                <w:szCs w:val="24"/>
              </w:rPr>
              <w:t>Dosažitelnost zdravotní péče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E76A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E76AB">
              <w:rPr>
                <w:bCs/>
                <w:color w:val="000000"/>
              </w:rPr>
              <w:t>2</w:t>
            </w:r>
          </w:p>
        </w:tc>
      </w:tr>
      <w:tr w:rsidR="004F5EC9" w:rsidRPr="00325DCA" w:rsidTr="00AE1C8F">
        <w:trPr>
          <w:trHeight w:val="324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482336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482336">
              <w:rPr>
                <w:color w:val="000000"/>
                <w:szCs w:val="24"/>
              </w:rPr>
              <w:t>3.</w:t>
            </w:r>
            <w:r w:rsidRPr="00482336">
              <w:rPr>
                <w:color w:val="000000"/>
                <w:sz w:val="14"/>
                <w:szCs w:val="14"/>
              </w:rPr>
              <w:t xml:space="preserve"> </w:t>
            </w:r>
            <w:r w:rsidRPr="00482336">
              <w:rPr>
                <w:color w:val="000000"/>
                <w:szCs w:val="24"/>
              </w:rPr>
              <w:t>Zapojení lékařů – chalupářů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E76A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E76AB">
              <w:rPr>
                <w:bCs/>
                <w:color w:val="000000"/>
              </w:rPr>
              <w:t>3</w:t>
            </w:r>
          </w:p>
        </w:tc>
      </w:tr>
      <w:tr w:rsidR="004F5EC9" w:rsidRPr="00325DCA" w:rsidTr="00AE1C8F">
        <w:trPr>
          <w:trHeight w:val="324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482336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482336">
              <w:rPr>
                <w:color w:val="000000"/>
                <w:szCs w:val="24"/>
              </w:rPr>
              <w:t>4.</w:t>
            </w:r>
            <w:r w:rsidRPr="00482336">
              <w:rPr>
                <w:color w:val="000000"/>
                <w:sz w:val="14"/>
                <w:szCs w:val="14"/>
              </w:rPr>
              <w:t xml:space="preserve"> </w:t>
            </w:r>
            <w:r w:rsidRPr="00482336">
              <w:rPr>
                <w:color w:val="000000"/>
                <w:szCs w:val="24"/>
              </w:rPr>
              <w:t>Kurzy první pomoci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E76A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E76AB">
              <w:rPr>
                <w:bCs/>
                <w:color w:val="000000"/>
              </w:rPr>
              <w:t>3</w:t>
            </w:r>
          </w:p>
        </w:tc>
      </w:tr>
      <w:tr w:rsidR="004F5EC9" w:rsidRPr="00325DCA" w:rsidTr="00AE1C8F">
        <w:trPr>
          <w:trHeight w:val="324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482336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482336">
              <w:rPr>
                <w:color w:val="000000"/>
                <w:szCs w:val="24"/>
              </w:rPr>
              <w:t>6.</w:t>
            </w:r>
            <w:r w:rsidRPr="00482336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Cs w:val="24"/>
              </w:rPr>
              <w:t>Donáška léků ( souvisí s peč. s</w:t>
            </w:r>
            <w:r w:rsidRPr="00482336">
              <w:rPr>
                <w:color w:val="000000"/>
                <w:szCs w:val="24"/>
              </w:rPr>
              <w:t>lužbou)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E76A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E76AB">
              <w:rPr>
                <w:bCs/>
                <w:color w:val="000000"/>
              </w:rPr>
              <w:t>4</w:t>
            </w:r>
          </w:p>
        </w:tc>
      </w:tr>
    </w:tbl>
    <w:p w:rsidR="004F5EC9" w:rsidRPr="00D02B0B" w:rsidRDefault="004F5EC9" w:rsidP="004F5EC9">
      <w:pPr>
        <w:rPr>
          <w:sz w:val="22"/>
        </w:rPr>
      </w:pPr>
      <w:r w:rsidRPr="00D02B0B">
        <w:rPr>
          <w:sz w:val="22"/>
        </w:rPr>
        <w:t>Zdroj: PS „Mezilidské vztahy“, 25.</w:t>
      </w:r>
      <w:r>
        <w:rPr>
          <w:sz w:val="22"/>
        </w:rPr>
        <w:t xml:space="preserve"> </w:t>
      </w:r>
      <w:r w:rsidRPr="00D02B0B">
        <w:rPr>
          <w:sz w:val="22"/>
        </w:rPr>
        <w:t>6.</w:t>
      </w:r>
      <w:r>
        <w:rPr>
          <w:sz w:val="22"/>
        </w:rPr>
        <w:t xml:space="preserve"> </w:t>
      </w:r>
      <w:r w:rsidRPr="00D02B0B">
        <w:rPr>
          <w:sz w:val="22"/>
        </w:rPr>
        <w:t>2014</w:t>
      </w:r>
    </w:p>
    <w:p w:rsidR="004F5EC9" w:rsidRDefault="004F5EC9" w:rsidP="004F5EC9"/>
    <w:p w:rsidR="004F5EC9" w:rsidRPr="00B042B1" w:rsidRDefault="004F5EC9" w:rsidP="004F5EC9">
      <w:pPr>
        <w:pStyle w:val="Titulek"/>
        <w:rPr>
          <w:color w:val="auto"/>
          <w:sz w:val="24"/>
          <w:szCs w:val="24"/>
        </w:rPr>
      </w:pPr>
      <w:bookmarkStart w:id="21" w:name="_Toc445458983"/>
      <w:bookmarkStart w:id="22" w:name="_Toc446407727"/>
      <w:r w:rsidRPr="00B042B1">
        <w:rPr>
          <w:b/>
          <w:color w:val="auto"/>
          <w:sz w:val="24"/>
          <w:szCs w:val="24"/>
        </w:rPr>
        <w:t xml:space="preserve">Tabulka </w:t>
      </w:r>
      <w:r w:rsidR="00744FAE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744FAE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102</w:t>
      </w:r>
      <w:r w:rsidR="00744FAE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color w:val="auto"/>
          <w:sz w:val="24"/>
          <w:szCs w:val="24"/>
        </w:rPr>
        <w:t>: Návrhy řešení identifikovaných příčin analyzovaného problému „sport a kultura“</w:t>
      </w:r>
      <w:bookmarkEnd w:id="21"/>
      <w:bookmarkEnd w:id="22"/>
    </w:p>
    <w:tbl>
      <w:tblPr>
        <w:tblpPr w:leftFromText="142" w:rightFromText="142" w:vertAnchor="text" w:horzAnchor="margin" w:tblpY="1"/>
        <w:tblOverlap w:val="never"/>
        <w:tblW w:w="9284" w:type="dxa"/>
        <w:tblCellMar>
          <w:left w:w="70" w:type="dxa"/>
          <w:right w:w="70" w:type="dxa"/>
        </w:tblCellMar>
        <w:tblLook w:val="04A0"/>
      </w:tblPr>
      <w:tblGrid>
        <w:gridCol w:w="7250"/>
        <w:gridCol w:w="2034"/>
      </w:tblGrid>
      <w:tr w:rsidR="004F5EC9" w:rsidRPr="00325DCA" w:rsidTr="00AE1C8F">
        <w:trPr>
          <w:trHeight w:val="567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4F5EC9" w:rsidRPr="005E76AB" w:rsidRDefault="004F5EC9" w:rsidP="00AE1C8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highlight w:val="magenta"/>
              </w:rPr>
            </w:pPr>
            <w:r w:rsidRPr="005E76AB">
              <w:rPr>
                <w:b/>
                <w:bCs/>
                <w:color w:val="000000"/>
                <w:sz w:val="26"/>
                <w:szCs w:val="26"/>
                <w:highlight w:val="magenta"/>
              </w:rPr>
              <w:t>7. Sport a kultura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4F5EC9" w:rsidRPr="005E76AB" w:rsidRDefault="004F5EC9" w:rsidP="00AE1C8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highlight w:val="magenta"/>
              </w:rPr>
            </w:pPr>
            <w:r w:rsidRPr="005E76AB">
              <w:rPr>
                <w:b/>
                <w:bCs/>
                <w:color w:val="000000"/>
                <w:sz w:val="26"/>
                <w:szCs w:val="26"/>
                <w:highlight w:val="magenta"/>
              </w:rPr>
              <w:t>Pořadí důležitosti</w:t>
            </w:r>
          </w:p>
        </w:tc>
      </w:tr>
      <w:tr w:rsidR="004F5EC9" w:rsidRPr="00325DCA" w:rsidTr="00AE1C8F">
        <w:trPr>
          <w:trHeight w:val="325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1.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Venkovní areály chybí (dětská hřiště, venkovní posezení, pece)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E76A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E76AB">
              <w:rPr>
                <w:bCs/>
                <w:color w:val="000000"/>
              </w:rPr>
              <w:t>1</w:t>
            </w:r>
          </w:p>
        </w:tc>
      </w:tr>
      <w:tr w:rsidR="004F5EC9" w:rsidRPr="00325DCA" w:rsidTr="00AE1C8F">
        <w:trPr>
          <w:trHeight w:val="325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3.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Nedostatek kvalitních akcí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E76A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E76AB">
              <w:rPr>
                <w:bCs/>
                <w:color w:val="000000"/>
              </w:rPr>
              <w:t>2</w:t>
            </w:r>
          </w:p>
        </w:tc>
      </w:tr>
      <w:tr w:rsidR="004F5EC9" w:rsidRPr="00325DCA" w:rsidTr="00AE1C8F">
        <w:trPr>
          <w:trHeight w:val="325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6.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Nedostatek kvalitních trenérů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E76A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E76AB">
              <w:rPr>
                <w:bCs/>
                <w:color w:val="000000"/>
              </w:rPr>
              <w:t>2</w:t>
            </w:r>
          </w:p>
        </w:tc>
      </w:tr>
      <w:tr w:rsidR="004F5EC9" w:rsidRPr="00325DCA" w:rsidTr="00AE1C8F">
        <w:trPr>
          <w:trHeight w:val="325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9.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Podpora živých zahrad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E76A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E76AB">
              <w:rPr>
                <w:bCs/>
                <w:color w:val="000000"/>
              </w:rPr>
              <w:t>2</w:t>
            </w:r>
          </w:p>
        </w:tc>
      </w:tr>
      <w:tr w:rsidR="004F5EC9" w:rsidRPr="00325DCA" w:rsidTr="00AE1C8F">
        <w:trPr>
          <w:trHeight w:val="325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12.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Podpora koupání na venkově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E76A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E76AB">
              <w:rPr>
                <w:bCs/>
                <w:color w:val="000000"/>
              </w:rPr>
              <w:t>2</w:t>
            </w:r>
          </w:p>
        </w:tc>
      </w:tr>
      <w:tr w:rsidR="004F5EC9" w:rsidRPr="00325DCA" w:rsidTr="00AE1C8F">
        <w:trPr>
          <w:trHeight w:val="325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4.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Podpora zakládání ochotnických spolků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E76A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E76AB">
              <w:rPr>
                <w:bCs/>
                <w:color w:val="000000"/>
              </w:rPr>
              <w:t>3</w:t>
            </w:r>
          </w:p>
        </w:tc>
      </w:tr>
      <w:tr w:rsidR="004F5EC9" w:rsidRPr="00325DCA" w:rsidTr="00AE1C8F">
        <w:trPr>
          <w:trHeight w:val="325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5.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Podpora nekuřáckých prostor/ akcí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E76A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E76AB">
              <w:rPr>
                <w:bCs/>
                <w:color w:val="000000"/>
              </w:rPr>
              <w:t>3</w:t>
            </w:r>
          </w:p>
        </w:tc>
      </w:tr>
      <w:tr w:rsidR="004F5EC9" w:rsidRPr="00325DCA" w:rsidTr="00AE1C8F">
        <w:trPr>
          <w:trHeight w:val="325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7.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Vybavení venkovních areálů (kuželky,…)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E76A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E76AB">
              <w:rPr>
                <w:bCs/>
                <w:color w:val="000000"/>
              </w:rPr>
              <w:t>3</w:t>
            </w:r>
          </w:p>
        </w:tc>
      </w:tr>
      <w:tr w:rsidR="004F5EC9" w:rsidRPr="00325DCA" w:rsidTr="00AE1C8F">
        <w:trPr>
          <w:trHeight w:val="325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10.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Podpora výs</w:t>
            </w:r>
            <w:r>
              <w:rPr>
                <w:color w:val="000000"/>
                <w:szCs w:val="24"/>
              </w:rPr>
              <w:t>tavby požárních nádrží s koup. n</w:t>
            </w:r>
            <w:r w:rsidRPr="00AA4CE1">
              <w:rPr>
                <w:color w:val="000000"/>
                <w:szCs w:val="24"/>
              </w:rPr>
              <w:t>a vlastní nebezpečí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E76A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E76AB">
              <w:rPr>
                <w:bCs/>
                <w:color w:val="000000"/>
              </w:rPr>
              <w:t>3</w:t>
            </w:r>
          </w:p>
        </w:tc>
      </w:tr>
      <w:tr w:rsidR="004F5EC9" w:rsidRPr="00325DCA" w:rsidTr="00AE1C8F">
        <w:trPr>
          <w:trHeight w:val="325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13.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Klubovny i pro malé obce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E76A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E76AB">
              <w:rPr>
                <w:bCs/>
                <w:color w:val="000000"/>
              </w:rPr>
              <w:t>3</w:t>
            </w:r>
          </w:p>
        </w:tc>
      </w:tr>
      <w:tr w:rsidR="004F5EC9" w:rsidRPr="00325DCA" w:rsidTr="00AE1C8F">
        <w:trPr>
          <w:trHeight w:val="325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2.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Chybí akce (nebo jsou špatně koordinované)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E76A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E76AB">
              <w:rPr>
                <w:bCs/>
                <w:color w:val="000000"/>
              </w:rPr>
              <w:t>4</w:t>
            </w:r>
          </w:p>
        </w:tc>
      </w:tr>
      <w:tr w:rsidR="004F5EC9" w:rsidRPr="00325DCA" w:rsidTr="00AE1C8F">
        <w:trPr>
          <w:trHeight w:val="325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8.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Právní poradenství, přemosťování legislativních nesmyslů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E76A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E76AB">
              <w:rPr>
                <w:bCs/>
                <w:color w:val="000000"/>
              </w:rPr>
              <w:t>4</w:t>
            </w:r>
          </w:p>
        </w:tc>
      </w:tr>
      <w:tr w:rsidR="004F5EC9" w:rsidRPr="00325DCA" w:rsidTr="00AE1C8F">
        <w:trPr>
          <w:trHeight w:val="325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AA4CE1" w:rsidRDefault="004F5EC9" w:rsidP="00AE1C8F">
            <w:pPr>
              <w:spacing w:line="240" w:lineRule="auto"/>
              <w:rPr>
                <w:color w:val="000000"/>
                <w:szCs w:val="24"/>
              </w:rPr>
            </w:pPr>
            <w:r w:rsidRPr="00AA4CE1">
              <w:rPr>
                <w:color w:val="000000"/>
                <w:szCs w:val="24"/>
              </w:rPr>
              <w:t>11.</w:t>
            </w:r>
            <w:r w:rsidRPr="00AA4CE1">
              <w:rPr>
                <w:color w:val="000000"/>
                <w:sz w:val="14"/>
                <w:szCs w:val="14"/>
              </w:rPr>
              <w:t xml:space="preserve"> </w:t>
            </w:r>
            <w:r w:rsidRPr="00AA4CE1">
              <w:rPr>
                <w:color w:val="000000"/>
                <w:szCs w:val="24"/>
              </w:rPr>
              <w:t>Přerybněné rybníky nevhodné ke koupání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C9" w:rsidRPr="005E76AB" w:rsidRDefault="004F5EC9" w:rsidP="00AE1C8F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5E76AB">
              <w:rPr>
                <w:bCs/>
                <w:color w:val="000000"/>
              </w:rPr>
              <w:t>4</w:t>
            </w:r>
          </w:p>
        </w:tc>
      </w:tr>
    </w:tbl>
    <w:p w:rsidR="004F5EC9" w:rsidRPr="00D02B0B" w:rsidRDefault="004F5EC9" w:rsidP="004F5EC9">
      <w:pPr>
        <w:rPr>
          <w:sz w:val="22"/>
        </w:rPr>
      </w:pPr>
      <w:r w:rsidRPr="00D02B0B">
        <w:rPr>
          <w:sz w:val="22"/>
        </w:rPr>
        <w:t>Zdroj: PS „Mezilidské vztahy“, 25.</w:t>
      </w:r>
      <w:r>
        <w:rPr>
          <w:sz w:val="22"/>
        </w:rPr>
        <w:t xml:space="preserve"> </w:t>
      </w:r>
      <w:r w:rsidRPr="00D02B0B">
        <w:rPr>
          <w:sz w:val="22"/>
        </w:rPr>
        <w:t>6.</w:t>
      </w:r>
      <w:r>
        <w:rPr>
          <w:sz w:val="22"/>
        </w:rPr>
        <w:t xml:space="preserve"> </w:t>
      </w:r>
      <w:r w:rsidRPr="00D02B0B">
        <w:rPr>
          <w:sz w:val="22"/>
        </w:rPr>
        <w:t>2014</w:t>
      </w:r>
    </w:p>
    <w:p w:rsidR="004F5EC9" w:rsidRDefault="004F5EC9" w:rsidP="004F5EC9"/>
    <w:p w:rsidR="004F5EC9" w:rsidRDefault="004F5EC9" w:rsidP="004F5EC9">
      <w:pPr>
        <w:spacing w:line="276" w:lineRule="auto"/>
      </w:pPr>
      <w:r w:rsidRPr="00ED0DAE">
        <w:rPr>
          <w:b/>
          <w:szCs w:val="24"/>
        </w:rPr>
        <w:t>Výstu</w:t>
      </w:r>
      <w:r>
        <w:rPr>
          <w:b/>
          <w:szCs w:val="24"/>
        </w:rPr>
        <w:t>py z 2. pracovní schůzky PS „Mezilidské vztahy“ byly p</w:t>
      </w:r>
      <w:r w:rsidRPr="00ED0DAE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ED0DAE">
        <w:rPr>
          <w:b/>
          <w:szCs w:val="24"/>
        </w:rPr>
        <w:t>zpracování využity pro</w:t>
      </w:r>
      <w:r>
        <w:rPr>
          <w:b/>
          <w:szCs w:val="24"/>
        </w:rPr>
        <w:t xml:space="preserve"> formulaci</w:t>
      </w:r>
      <w:r w:rsidRPr="00ED0DAE">
        <w:rPr>
          <w:b/>
          <w:szCs w:val="24"/>
        </w:rPr>
        <w:t xml:space="preserve"> s</w:t>
      </w:r>
      <w:r>
        <w:rPr>
          <w:b/>
          <w:szCs w:val="24"/>
        </w:rPr>
        <w:t>trategických</w:t>
      </w:r>
      <w:r w:rsidRPr="00ED0DAE">
        <w:rPr>
          <w:b/>
          <w:szCs w:val="24"/>
        </w:rPr>
        <w:t xml:space="preserve"> cílů, </w:t>
      </w:r>
      <w:r>
        <w:rPr>
          <w:b/>
          <w:szCs w:val="24"/>
        </w:rPr>
        <w:t xml:space="preserve">Aktivita a aktivit </w:t>
      </w:r>
      <w:r w:rsidRPr="00ED0DAE">
        <w:rPr>
          <w:b/>
          <w:szCs w:val="24"/>
        </w:rPr>
        <w:t>pro prioritu č.</w:t>
      </w:r>
      <w:r>
        <w:rPr>
          <w:b/>
          <w:szCs w:val="24"/>
        </w:rPr>
        <w:t xml:space="preserve"> 1 </w:t>
      </w:r>
      <w:r w:rsidRPr="00ED0DAE">
        <w:rPr>
          <w:b/>
          <w:szCs w:val="24"/>
        </w:rPr>
        <w:t>„</w:t>
      </w:r>
      <w:r>
        <w:rPr>
          <w:b/>
          <w:szCs w:val="24"/>
        </w:rPr>
        <w:t>NADSTANDARDNÍ MEZILIDSKÉ VZTAHY</w:t>
      </w:r>
      <w:r w:rsidRPr="00ED0DAE">
        <w:rPr>
          <w:b/>
          <w:szCs w:val="24"/>
        </w:rPr>
        <w:t>“</w:t>
      </w:r>
      <w:r>
        <w:rPr>
          <w:b/>
          <w:szCs w:val="24"/>
        </w:rPr>
        <w:t xml:space="preserve"> </w:t>
      </w:r>
      <w:r w:rsidRPr="00ED0DAE">
        <w:rPr>
          <w:b/>
        </w:rPr>
        <w:t>Integrované strategie území OS MAS Krajina srdce pro období let 2014 – 2020.</w:t>
      </w:r>
    </w:p>
    <w:p w:rsidR="004F652D" w:rsidRPr="004F5EC9" w:rsidRDefault="004F652D" w:rsidP="004F5EC9">
      <w:pPr>
        <w:pStyle w:val="Normostrana"/>
        <w:rPr>
          <w:szCs w:val="20"/>
          <w:lang w:eastAsia="cs-CZ"/>
        </w:rPr>
      </w:pPr>
    </w:p>
    <w:sectPr w:rsidR="004F652D" w:rsidRPr="004F5EC9" w:rsidSect="0074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599C"/>
    <w:multiLevelType w:val="hybridMultilevel"/>
    <w:tmpl w:val="37ECC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11937"/>
    <w:multiLevelType w:val="multilevel"/>
    <w:tmpl w:val="95FA159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270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1432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F5EC9"/>
    <w:rsid w:val="000E5DBB"/>
    <w:rsid w:val="001152D9"/>
    <w:rsid w:val="004A012E"/>
    <w:rsid w:val="004F5EC9"/>
    <w:rsid w:val="004F652D"/>
    <w:rsid w:val="006E5F0C"/>
    <w:rsid w:val="00744FAE"/>
    <w:rsid w:val="00C8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EC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F5EC9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5EC9"/>
    <w:pPr>
      <w:keepNext/>
      <w:keepLines/>
      <w:numPr>
        <w:ilvl w:val="1"/>
        <w:numId w:val="2"/>
      </w:numPr>
      <w:spacing w:after="240"/>
      <w:ind w:left="578" w:hanging="578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5EC9"/>
    <w:pPr>
      <w:keepNext/>
      <w:keepLines/>
      <w:numPr>
        <w:ilvl w:val="2"/>
        <w:numId w:val="2"/>
      </w:numPr>
      <w:spacing w:before="12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F5EC9"/>
    <w:pPr>
      <w:keepNext/>
      <w:keepLines/>
      <w:numPr>
        <w:ilvl w:val="3"/>
        <w:numId w:val="2"/>
      </w:numPr>
      <w:spacing w:before="240" w:after="240"/>
      <w:ind w:left="864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F5EC9"/>
    <w:pPr>
      <w:keepNext/>
      <w:keepLines/>
      <w:numPr>
        <w:ilvl w:val="4"/>
        <w:numId w:val="2"/>
      </w:numPr>
      <w:spacing w:before="240" w:after="240"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F5EC9"/>
    <w:pPr>
      <w:keepNext/>
      <w:keepLines/>
      <w:numPr>
        <w:ilvl w:val="5"/>
        <w:numId w:val="2"/>
      </w:numPr>
      <w:spacing w:before="40"/>
      <w:outlineLvl w:val="5"/>
    </w:pPr>
    <w:rPr>
      <w:rFonts w:eastAsiaTheme="majorEastAsia" w:cstheme="majorBidi"/>
      <w:b/>
      <w:sz w:val="3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F5EC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F5EC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F5EC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5EC9"/>
    <w:rPr>
      <w:rFonts w:ascii="Times New Roman" w:eastAsiaTheme="majorEastAsia" w:hAnsi="Times New Roman" w:cstheme="majorBidi"/>
      <w:b/>
      <w:color w:val="000000" w:themeColor="text1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F5EC9"/>
    <w:rPr>
      <w:rFonts w:ascii="Times New Roman" w:eastAsiaTheme="majorEastAsia" w:hAnsi="Times New Roman" w:cstheme="majorBidi"/>
      <w:b/>
      <w:sz w:val="32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F5EC9"/>
    <w:rPr>
      <w:rFonts w:ascii="Times New Roman" w:eastAsiaTheme="majorEastAsia" w:hAnsi="Times New Roman" w:cstheme="majorBidi"/>
      <w:b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F5EC9"/>
    <w:rPr>
      <w:rFonts w:ascii="Times New Roman" w:eastAsiaTheme="majorEastAsia" w:hAnsi="Times New Roman" w:cstheme="majorBidi"/>
      <w:b/>
      <w:i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F5EC9"/>
    <w:rPr>
      <w:rFonts w:ascii="Times New Roman" w:eastAsiaTheme="majorEastAsia" w:hAnsi="Times New Roman" w:cstheme="majorBidi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4F5EC9"/>
    <w:rPr>
      <w:rFonts w:ascii="Times New Roman" w:eastAsiaTheme="majorEastAsia" w:hAnsi="Times New Roman" w:cstheme="majorBidi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F5EC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F5EC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F5E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Bezmezer">
    <w:name w:val="No Spacing"/>
    <w:aliases w:val="číslování"/>
    <w:uiPriority w:val="1"/>
    <w:qFormat/>
    <w:rsid w:val="004F5E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rmostranaChar">
    <w:name w:val="Normostrana Char"/>
    <w:basedOn w:val="Standardnpsmoodstavce"/>
    <w:link w:val="Normostrana"/>
    <w:locked/>
    <w:rsid w:val="004F5EC9"/>
    <w:rPr>
      <w:rFonts w:ascii="Times New Roman" w:eastAsia="Times New Roman" w:hAnsi="Times New Roman" w:cs="Times New Roman"/>
      <w:sz w:val="24"/>
      <w:szCs w:val="28"/>
    </w:rPr>
  </w:style>
  <w:style w:type="paragraph" w:customStyle="1" w:styleId="Normostrana">
    <w:name w:val="Normostrana"/>
    <w:basedOn w:val="Normln"/>
    <w:link w:val="NormostranaChar"/>
    <w:qFormat/>
    <w:rsid w:val="004F5EC9"/>
    <w:rPr>
      <w:szCs w:val="28"/>
      <w:lang w:eastAsia="en-US"/>
    </w:rPr>
  </w:style>
  <w:style w:type="table" w:styleId="Mkatabulky">
    <w:name w:val="Table Grid"/>
    <w:basedOn w:val="Normlntabulka"/>
    <w:uiPriority w:val="59"/>
    <w:rsid w:val="004F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4F5EC9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4F5EC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DecimalAligned">
    <w:name w:val="Decimal Aligned"/>
    <w:basedOn w:val="Normln"/>
    <w:uiPriority w:val="40"/>
    <w:qFormat/>
    <w:rsid w:val="004F5EC9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4F5EC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EC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F5EC9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5EC9"/>
    <w:pPr>
      <w:keepNext/>
      <w:keepLines/>
      <w:numPr>
        <w:ilvl w:val="1"/>
        <w:numId w:val="2"/>
      </w:numPr>
      <w:spacing w:after="240"/>
      <w:ind w:left="578" w:hanging="578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5EC9"/>
    <w:pPr>
      <w:keepNext/>
      <w:keepLines/>
      <w:numPr>
        <w:ilvl w:val="2"/>
        <w:numId w:val="2"/>
      </w:numPr>
      <w:spacing w:before="12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F5EC9"/>
    <w:pPr>
      <w:keepNext/>
      <w:keepLines/>
      <w:numPr>
        <w:ilvl w:val="3"/>
        <w:numId w:val="2"/>
      </w:numPr>
      <w:spacing w:before="240" w:after="240"/>
      <w:ind w:left="864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F5EC9"/>
    <w:pPr>
      <w:keepNext/>
      <w:keepLines/>
      <w:numPr>
        <w:ilvl w:val="4"/>
        <w:numId w:val="2"/>
      </w:numPr>
      <w:spacing w:before="240" w:after="240"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F5EC9"/>
    <w:pPr>
      <w:keepNext/>
      <w:keepLines/>
      <w:numPr>
        <w:ilvl w:val="5"/>
        <w:numId w:val="2"/>
      </w:numPr>
      <w:spacing w:before="40"/>
      <w:outlineLvl w:val="5"/>
    </w:pPr>
    <w:rPr>
      <w:rFonts w:eastAsiaTheme="majorEastAsia" w:cstheme="majorBidi"/>
      <w:b/>
      <w:sz w:val="3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F5EC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F5EC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F5EC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5EC9"/>
    <w:rPr>
      <w:rFonts w:ascii="Times New Roman" w:eastAsiaTheme="majorEastAsia" w:hAnsi="Times New Roman" w:cstheme="majorBidi"/>
      <w:b/>
      <w:color w:val="000000" w:themeColor="text1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F5EC9"/>
    <w:rPr>
      <w:rFonts w:ascii="Times New Roman" w:eastAsiaTheme="majorEastAsia" w:hAnsi="Times New Roman" w:cstheme="majorBidi"/>
      <w:b/>
      <w:sz w:val="32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F5EC9"/>
    <w:rPr>
      <w:rFonts w:ascii="Times New Roman" w:eastAsiaTheme="majorEastAsia" w:hAnsi="Times New Roman" w:cstheme="majorBidi"/>
      <w:b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F5EC9"/>
    <w:rPr>
      <w:rFonts w:ascii="Times New Roman" w:eastAsiaTheme="majorEastAsia" w:hAnsi="Times New Roman" w:cstheme="majorBidi"/>
      <w:b/>
      <w:i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F5EC9"/>
    <w:rPr>
      <w:rFonts w:ascii="Times New Roman" w:eastAsiaTheme="majorEastAsia" w:hAnsi="Times New Roman" w:cstheme="majorBidi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4F5EC9"/>
    <w:rPr>
      <w:rFonts w:ascii="Times New Roman" w:eastAsiaTheme="majorEastAsia" w:hAnsi="Times New Roman" w:cstheme="majorBidi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F5EC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F5EC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F5E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Bezmezer">
    <w:name w:val="No Spacing"/>
    <w:aliases w:val="číslování"/>
    <w:uiPriority w:val="1"/>
    <w:qFormat/>
    <w:rsid w:val="004F5E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rmostranaChar">
    <w:name w:val="Normostrana Char"/>
    <w:basedOn w:val="Standardnpsmoodstavce"/>
    <w:link w:val="Normostrana"/>
    <w:locked/>
    <w:rsid w:val="004F5EC9"/>
    <w:rPr>
      <w:rFonts w:ascii="Times New Roman" w:eastAsia="Times New Roman" w:hAnsi="Times New Roman" w:cs="Times New Roman"/>
      <w:sz w:val="24"/>
      <w:szCs w:val="28"/>
    </w:rPr>
  </w:style>
  <w:style w:type="paragraph" w:customStyle="1" w:styleId="Normostrana">
    <w:name w:val="Normostrana"/>
    <w:basedOn w:val="Normln"/>
    <w:link w:val="NormostranaChar"/>
    <w:qFormat/>
    <w:rsid w:val="004F5EC9"/>
    <w:rPr>
      <w:szCs w:val="28"/>
      <w:lang w:eastAsia="en-US"/>
    </w:rPr>
  </w:style>
  <w:style w:type="table" w:styleId="Mkatabulky">
    <w:name w:val="Table Grid"/>
    <w:basedOn w:val="Normlntabulka"/>
    <w:uiPriority w:val="59"/>
    <w:rsid w:val="004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4F5EC9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4F5EC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DecimalAligned">
    <w:name w:val="Decimal Aligned"/>
    <w:basedOn w:val="Normln"/>
    <w:uiPriority w:val="40"/>
    <w:qFormat/>
    <w:rsid w:val="004F5EC9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4F5EC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1529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Burianová</dc:creator>
  <cp:lastModifiedBy>MAS</cp:lastModifiedBy>
  <cp:revision>2</cp:revision>
  <dcterms:created xsi:type="dcterms:W3CDTF">2019-06-27T08:55:00Z</dcterms:created>
  <dcterms:modified xsi:type="dcterms:W3CDTF">2019-06-27T08:55:00Z</dcterms:modified>
</cp:coreProperties>
</file>