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PŘÍLOHA B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Propojené podniky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A. URČENÍ PŘÍPADU, KTERÝ SE VZTAHUJE NA PODNIK PODÁVAJÍCÍ ŽÁDOST: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0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Případ 1: </w:t>
      </w:r>
      <w:r>
        <w:rPr>
          <w:rFonts w:ascii="Arial" w:hAnsi="Arial" w:cs="Arial"/>
        </w:rPr>
        <w:t>Podnik podávající žádost sestavuje konsolidovanou účetní závěrku nebo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 v rámci konsolidace zahrnut do konsolidované účetní závěrky jiného podniku. Rámeček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B(1)</w:t>
      </w:r>
      <w:proofErr w:type="gramEnd"/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Případ 2: </w:t>
      </w:r>
      <w:r>
        <w:rPr>
          <w:rFonts w:ascii="Arial" w:hAnsi="Arial" w:cs="Arial"/>
        </w:rPr>
        <w:t>Podnik podávající žádost, nebo jeden či více propojených podniků nesestavují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konsolidovanou účetní závěrku ani nejsou zahrnuty do konsolidované účetní závěrky. </w:t>
      </w:r>
      <w:proofErr w:type="gramStart"/>
      <w:r>
        <w:rPr>
          <w:rFonts w:ascii="Arial" w:hAnsi="Arial" w:cs="Arial"/>
        </w:rPr>
        <w:t>Rámeček B(2).</w:t>
      </w:r>
      <w:proofErr w:type="gramEnd"/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33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Všimněte si: </w:t>
      </w:r>
      <w:r>
        <w:rPr>
          <w:rFonts w:ascii="Arial" w:hAnsi="Arial" w:cs="Arial"/>
        </w:rPr>
        <w:t>Údaje podniků, které jsou propojeny s podnikem podávajícím žádost, jsou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získány z jejich účtů a jejich ostatních údajů, případně konsolidovaných, jsou-li takové. S těmito údaji jsou poměrným způsobem agregovány údaje o všech případných partnerských podnicích tohoto propojeného podniku, které na ně bezprostředně navazují, ledaže již byly zahrnuty v rámci konsolidace</w:t>
      </w:r>
      <w:r>
        <w:rPr>
          <w:rFonts w:ascii="Arial" w:hAnsi="Arial" w:cs="Arial"/>
          <w:sz w:val="27"/>
          <w:szCs w:val="27"/>
          <w:vertAlign w:val="superscript"/>
        </w:rPr>
        <w:t>105</w:t>
      </w:r>
      <w:r>
        <w:rPr>
          <w:rFonts w:ascii="Arial" w:hAnsi="Arial" w:cs="Arial"/>
        </w:rPr>
        <w:t>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B. ZPŮSOBY VÝPOČTU V JEDNOTLIVÝCH PŘÍPADECH: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left="10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 případě 1: </w:t>
      </w:r>
      <w:r>
        <w:rPr>
          <w:rFonts w:ascii="Arial" w:hAnsi="Arial" w:cs="Arial"/>
        </w:rPr>
        <w:t xml:space="preserve">Jako základ pro výpočet slouží konsolidovaná účetní závěrka. Vyplňte </w:t>
      </w:r>
      <w:proofErr w:type="gramStart"/>
      <w:r>
        <w:rPr>
          <w:rFonts w:ascii="Arial" w:hAnsi="Arial" w:cs="Arial"/>
        </w:rPr>
        <w:t>rámeček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B(1) níže</w:t>
      </w:r>
      <w:proofErr w:type="gramEnd"/>
      <w:r>
        <w:rPr>
          <w:rFonts w:ascii="Arial" w:hAnsi="Arial" w:cs="Arial"/>
        </w:rPr>
        <w:t>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Rámeček B(1)</w:t>
      </w:r>
      <w:proofErr w:type="gramEnd"/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6192" from="-.45pt,6.45pt" to="460.2pt,6.45pt" o:allowincell="f" strokeweight=".16931mm"/>
        </w:pict>
      </w:r>
      <w:r>
        <w:rPr>
          <w:noProof/>
        </w:rPr>
        <w:pict>
          <v:line id="_x0000_s1027" style="position:absolute;z-index:-251655168" from="-.45pt,32.25pt" to="460.2pt,32.25pt" o:allowincell="f" strokeweight=".48pt"/>
        </w:pict>
      </w:r>
      <w:r>
        <w:rPr>
          <w:noProof/>
        </w:rPr>
        <w:pict>
          <v:line id="_x0000_s1028" style="position:absolute;z-index:-251654144" from="114.75pt,6.2pt" to="114.75pt,51.7pt" o:allowincell="f" strokeweight=".16931mm"/>
        </w:pict>
      </w:r>
      <w:r>
        <w:rPr>
          <w:noProof/>
        </w:rPr>
        <w:pict>
          <v:line id="_x0000_s1029" style="position:absolute;z-index:-251653120" from="247.95pt,6.2pt" to="247.95pt,51.7pt" o:allowincell="f" strokeweight=".16931mm"/>
        </w:pict>
      </w:r>
      <w:r>
        <w:rPr>
          <w:noProof/>
        </w:rPr>
        <w:pict>
          <v:line id="_x0000_s1030" style="position:absolute;z-index:-251652096" from="345.05pt,6.2pt" to="345.05pt,51.7pt" o:allowincell="f" strokeweight=".16931mm"/>
        </w:pict>
      </w: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1980"/>
        <w:gridCol w:w="1940"/>
        <w:gridCol w:w="20"/>
      </w:tblGrid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obrat**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Bilanční suma**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(RPJ)*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Celkem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1072" from="-.45pt,6.45pt" to="460.2pt,6.45pt" o:allowincell="f" strokeweight=".16931mm"/>
        </w:pict>
      </w: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 Jestliže se v konsolidované účetní závěrce neobjeví počet zaměstnanců daného podniku, výpočet tohoto počtu se provede sečtením údajů z podniků, s nimiž je dotyčný podnik propojen.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** 1 000 EUR (dle kurzu ECB k datu účetní závěrky, příp. k poslednímu pracovnímu dni předcházejícímu tomuto datu, pokud datum účetní uzávěrky připadá na sobotu, neděli nebo svátek). Stačí vyplnit buď roční </w:t>
      </w:r>
      <w:proofErr w:type="gramStart"/>
      <w:r>
        <w:rPr>
          <w:rFonts w:ascii="Arial" w:hAnsi="Arial" w:cs="Arial"/>
        </w:rPr>
        <w:t>obrat nebo</w:t>
      </w:r>
      <w:proofErr w:type="gramEnd"/>
      <w:r>
        <w:rPr>
          <w:rFonts w:ascii="Arial" w:hAnsi="Arial" w:cs="Arial"/>
        </w:rPr>
        <w:t xml:space="preserve"> bilanční sumu.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0048" from="-1.15pt,.45pt" to="460.2pt,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800"/>
        <w:gridCol w:w="1180"/>
        <w:gridCol w:w="2820"/>
        <w:gridCol w:w="20"/>
      </w:tblGrid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Údaje  uvedené</w:t>
            </w:r>
            <w:proofErr w:type="gramEnd"/>
            <w:r>
              <w:rPr>
                <w:rFonts w:ascii="Arial" w:hAnsi="Arial" w:cs="Arial"/>
              </w:rPr>
              <w:t xml:space="preserve">  v  řádku  „Celkem“  výše  uvedené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tabulky  </w:t>
            </w:r>
            <w:proofErr w:type="gramStart"/>
            <w:r>
              <w:rPr>
                <w:rFonts w:ascii="Arial" w:hAnsi="Arial" w:cs="Arial"/>
              </w:rPr>
              <w:t>se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zapíší  do</w:t>
            </w:r>
            <w:proofErr w:type="gramEnd"/>
            <w:r>
              <w:rPr>
                <w:rFonts w:ascii="Arial" w:hAnsi="Arial" w:cs="Arial"/>
              </w:rPr>
              <w:t xml:space="preserve">  řádku  1  tabulky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 příloze prohlášení.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9" w:lineRule="exact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Identifikace podniků zahrnutých v rámci konsolidace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Propojený podnik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7" w:lineRule="exac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Jména a tituly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Adresa (sídla)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hlavního ředitele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(jméno/identifikace)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hlavních ředitelů*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49024;mso-position-horizontal-relative:text;mso-position-vertical-relative:text" from="114.75pt,-38.2pt" to="114.75pt,102.45pt" o:allowincell="f" strokeweight=".16931mm"/>
        </w:pict>
      </w:r>
      <w:r>
        <w:rPr>
          <w:noProof/>
        </w:rPr>
        <w:pict>
          <v:line id="_x0000_s1034" style="position:absolute;z-index:-251648000;mso-position-horizontal-relative:text;mso-position-vertical-relative:text" from="229.85pt,-38.2pt" to="229.85pt,102.45pt" o:allowincell="f" strokeweight=".48pt"/>
        </w:pict>
      </w:r>
      <w:r>
        <w:rPr>
          <w:noProof/>
        </w:rPr>
        <w:pict>
          <v:line id="_x0000_s1035" style="position:absolute;z-index:-251646976;mso-position-horizontal-relative:text;mso-position-vertical-relative:text" from="345.05pt,-38.2pt" to="345.05pt,102.45pt" o:allowincell="f" strokeweight=".16931mm"/>
        </w:pict>
      </w:r>
      <w:r>
        <w:rPr>
          <w:noProof/>
        </w:rPr>
        <w:pict>
          <v:line id="_x0000_s1036" style="position:absolute;z-index:-251645952;mso-position-horizontal-relative:text;mso-position-vertical-relative:text" from="-.45pt,6.45pt" to="460.2pt,6.45pt" o:allowincell="f" strokeweight=".16931mm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4928" from="-.45pt,6.45pt" to="460.2pt,6.45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-.45pt,6.3pt" to="460.2pt,6.3pt" o:allowincell="f" strokeweight=".16931mm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2880" from="-.45pt,6.3pt" to="460.2pt,6.3pt" o:allowincell="f" strokeweight=".16931mm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1856" from="-.45pt,6.45pt" to="460.2pt,6.45pt" o:allowincell="f" strokeweight=".16931mm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0832" from="-.45pt,6.3pt" to="460.2pt,6.3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* Předseda (výkonný ředitel), generální ředitel apod.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39808" from="-1.15pt,6.45pt" to="460.2pt,6.45pt" o:allowincell="f" strokeweight=".48pt"/>
        </w:pict>
      </w:r>
      <w:r>
        <w:rPr>
          <w:noProof/>
        </w:rPr>
        <w:pict>
          <v:line id="_x0000_s1043" style="position:absolute;z-index:-251638784" from="14.75pt,26pt" to="158.8pt,26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  <w:vertAlign w:val="superscript"/>
        </w:rPr>
        <w:t>105</w:t>
      </w:r>
      <w:r>
        <w:rPr>
          <w:rFonts w:ascii="Arial" w:hAnsi="Arial" w:cs="Arial"/>
          <w:sz w:val="20"/>
          <w:szCs w:val="20"/>
        </w:rPr>
        <w:t xml:space="preserve"> Definice, čl. 6 odst. 3 </w:t>
      </w:r>
      <w:proofErr w:type="spellStart"/>
      <w:r>
        <w:rPr>
          <w:rFonts w:ascii="Arial" w:hAnsi="Arial" w:cs="Arial"/>
          <w:sz w:val="20"/>
          <w:szCs w:val="20"/>
        </w:rPr>
        <w:t>pododst</w:t>
      </w:r>
      <w:proofErr w:type="spellEnd"/>
      <w:r>
        <w:rPr>
          <w:rFonts w:ascii="Arial" w:hAnsi="Arial" w:cs="Arial"/>
          <w:sz w:val="20"/>
          <w:szCs w:val="20"/>
        </w:rPr>
        <w:t xml:space="preserve"> 2.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5CAE">
          <w:pgSz w:w="11900" w:h="16838"/>
          <w:pgMar w:top="935" w:right="1380" w:bottom="666" w:left="1320" w:header="708" w:footer="708" w:gutter="0"/>
          <w:cols w:space="708" w:equalWidth="0">
            <w:col w:w="9200"/>
          </w:cols>
          <w:noEndnote/>
        </w:sect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17"/>
      <w:bookmarkEnd w:id="0"/>
      <w:r>
        <w:rPr>
          <w:rFonts w:ascii="Arial" w:hAnsi="Arial" w:cs="Arial"/>
          <w:b/>
          <w:bCs/>
        </w:rPr>
        <w:lastRenderedPageBreak/>
        <w:t xml:space="preserve">Důležité: </w:t>
      </w:r>
      <w:r>
        <w:rPr>
          <w:rFonts w:ascii="Arial" w:hAnsi="Arial" w:cs="Arial"/>
        </w:rPr>
        <w:t>Partnerské podniky tohoto propojeného podniku, které nejsou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dosud zahrnuty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 rámci konsolidace, jsou považovány za přímé partnery podniku podávajícího žádost. Jejich údaje a „list partnera“ se proto připojí do přílohy A.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V případě 2: </w:t>
      </w:r>
      <w:r>
        <w:rPr>
          <w:rFonts w:ascii="Arial" w:hAnsi="Arial" w:cs="Arial"/>
        </w:rPr>
        <w:t>Pro každý propojený podnik (včetně vazeb prostřednictvím jiných propojených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podniků) vyplňte „list propojeného podniku“ a jednoduše sečtěte účty všech propojených podniků vyplněním v </w:t>
      </w:r>
      <w:proofErr w:type="gramStart"/>
      <w:r>
        <w:rPr>
          <w:rFonts w:ascii="Arial" w:hAnsi="Arial" w:cs="Arial"/>
        </w:rPr>
        <w:t>rámečku B(2) níže</w:t>
      </w:r>
      <w:proofErr w:type="gramEnd"/>
      <w:r>
        <w:rPr>
          <w:rFonts w:ascii="Arial" w:hAnsi="Arial" w:cs="Arial"/>
        </w:rPr>
        <w:t>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Rámeček B(2)</w:t>
      </w:r>
      <w:proofErr w:type="gramEnd"/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7760" from=".5pt,6.25pt" to=".5pt,162.65pt" o:allowincell="f" strokeweight=".16931mm"/>
        </w:pict>
      </w:r>
      <w:r>
        <w:rPr>
          <w:noProof/>
        </w:rPr>
        <w:pict>
          <v:line id="_x0000_s1045" style="position:absolute;z-index:-251636736" from="456pt,6.25pt" to="456pt,162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60"/>
        <w:gridCol w:w="2660"/>
        <w:gridCol w:w="1540"/>
        <w:gridCol w:w="400"/>
        <w:gridCol w:w="2180"/>
        <w:gridCol w:w="20"/>
      </w:tblGrid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Podnik č.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obrat**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Bilanční suma**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(RPJ)*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1.*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2.*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3.*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4.*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5.*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* Přiložte jeden „list propojeného podniku“ pro každý podnik.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**  1000</w:t>
            </w:r>
            <w:proofErr w:type="gramEnd"/>
            <w:r>
              <w:rPr>
                <w:rFonts w:ascii="Arial" w:hAnsi="Arial" w:cs="Arial"/>
              </w:rPr>
              <w:t xml:space="preserve">  EUR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dle  kurzu</w:t>
            </w:r>
            <w:proofErr w:type="gramEnd"/>
            <w:r>
              <w:rPr>
                <w:rFonts w:ascii="Arial" w:hAnsi="Arial" w:cs="Arial"/>
              </w:rPr>
              <w:t xml:space="preserve">  ECB k datu  účetní  závěrky,  příp.  k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poslednímu  pracovnímu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dni předcházejícímu tomuto datu, pokud datum účetní uzávěrky připadá na sobotu, neděli nebo svátek). Stačí vyplnit buď roční </w:t>
      </w:r>
      <w:proofErr w:type="gramStart"/>
      <w:r>
        <w:rPr>
          <w:rFonts w:ascii="Arial" w:hAnsi="Arial" w:cs="Arial"/>
        </w:rPr>
        <w:t>obrat nebo</w:t>
      </w:r>
      <w:proofErr w:type="gramEnd"/>
      <w:r>
        <w:rPr>
          <w:rFonts w:ascii="Arial" w:hAnsi="Arial" w:cs="Arial"/>
        </w:rPr>
        <w:t xml:space="preserve"> bilanční sumu.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5712" from=".3pt,.5pt" to="456.25pt,.5pt" o:allowincell="f" strokeweight=".16931mm"/>
        </w:pict>
      </w: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Údaje uvedené v řádku „Celkem“ výše uvedené tabulky se zapíší do řádku 3 (pro propojené podniky) tabulky v příloze prohlášení.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LIST PROPOJENÉHO PODNIKU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(pouze pro propojené podniky nezahrnuté v rámci konsolidace v rámečku B)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 Přesná identifikace podniku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Název nebo obchodní jméno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Adresa (sídla)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IČ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Jména a tituly hlavního ředitele / hlavních ředitelů</w:t>
      </w:r>
      <w:r>
        <w:rPr>
          <w:rFonts w:ascii="Arial" w:hAnsi="Arial" w:cs="Arial"/>
          <w:sz w:val="27"/>
          <w:szCs w:val="27"/>
          <w:vertAlign w:val="superscript"/>
        </w:rPr>
        <w:t>106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2. Údaje o podniku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4688" from=".5pt,6.45pt" to="461.2pt,6.45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Sledované období (uveďte datum účetní uzávěrky)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2660"/>
        <w:gridCol w:w="1600"/>
        <w:gridCol w:w="340"/>
        <w:gridCol w:w="2280"/>
        <w:gridCol w:w="20"/>
      </w:tblGrid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Bilanční suma*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5CAE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*  1000</w:t>
            </w:r>
            <w:proofErr w:type="gramEnd"/>
            <w:r>
              <w:rPr>
                <w:rFonts w:ascii="Arial" w:hAnsi="Arial" w:cs="Arial"/>
              </w:rPr>
              <w:t xml:space="preserve">  EUR  (dle  kurzu  ECB k datu  účetní  závěrky,  příp.  k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poslednímu  pracovnímu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CAE" w:rsidRDefault="00E95CAE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dni předcházejícímu tomuto datu, pokud datum účetní uzávěrky připadá na sobotu, neděli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3664" from="-.15pt,.45pt" to="461.2pt,.45pt" o:allowincell="f" strokeweight=".48pt"/>
        </w:pict>
      </w:r>
      <w:r>
        <w:rPr>
          <w:noProof/>
        </w:rPr>
        <w:pict>
          <v:line id="_x0000_s1049" style="position:absolute;z-index:-251632640" from="15.75pt,10.75pt" to="159.8pt,10.75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E95CAE">
          <w:pgSz w:w="11900" w:h="16838"/>
          <w:pgMar w:top="1349" w:right="1380" w:bottom="666" w:left="1300" w:header="708" w:footer="708" w:gutter="0"/>
          <w:cols w:space="708" w:equalWidth="0">
            <w:col w:w="9220"/>
          </w:cols>
          <w:noEndnote/>
        </w:sectPr>
      </w:pPr>
      <w:r>
        <w:rPr>
          <w:rFonts w:ascii="Arial" w:hAnsi="Arial" w:cs="Arial"/>
          <w:sz w:val="25"/>
          <w:szCs w:val="25"/>
          <w:vertAlign w:val="superscript"/>
        </w:rPr>
        <w:t>106</w:t>
      </w:r>
      <w:r>
        <w:rPr>
          <w:rFonts w:ascii="Arial" w:hAnsi="Arial" w:cs="Arial"/>
          <w:sz w:val="20"/>
          <w:szCs w:val="20"/>
        </w:rPr>
        <w:t xml:space="preserve"> Předseda (výkonný ředitel), generální ředitel apod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8"/>
      <w:bookmarkEnd w:id="1"/>
      <w:r>
        <w:rPr>
          <w:noProof/>
        </w:rPr>
        <w:lastRenderedPageBreak/>
        <w:pict>
          <v:line id="_x0000_s1050" style="position:absolute;z-index:-251631616;mso-position-horizontal-relative:page;mso-position-vertical-relative:page" from="65.5pt,47.15pt" to="526.2pt,47.15pt" o:allowincell="f" strokeweight=".16931mm">
            <w10:wrap anchorx="page" anchory="page"/>
          </v:line>
        </w:pict>
      </w:r>
      <w:r>
        <w:rPr>
          <w:rFonts w:ascii="Arial" w:hAnsi="Arial" w:cs="Arial"/>
          <w:sz w:val="21"/>
          <w:szCs w:val="21"/>
        </w:rPr>
        <w:t xml:space="preserve">nebo svátek). Stačí vyplnit buď roční </w:t>
      </w:r>
      <w:proofErr w:type="gramStart"/>
      <w:r>
        <w:rPr>
          <w:rFonts w:ascii="Arial" w:hAnsi="Arial" w:cs="Arial"/>
          <w:sz w:val="21"/>
          <w:szCs w:val="21"/>
        </w:rPr>
        <w:t>obrat nebo</w:t>
      </w:r>
      <w:proofErr w:type="gramEnd"/>
      <w:r>
        <w:rPr>
          <w:rFonts w:ascii="Arial" w:hAnsi="Arial" w:cs="Arial"/>
          <w:sz w:val="21"/>
          <w:szCs w:val="21"/>
        </w:rPr>
        <w:t xml:space="preserve"> bilanční sumu.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0592" from="-6.15pt,.45pt" to="455.2pt,.45pt" o:allowincell="f" strokeweight=".16931mm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Tyto údaje se zapíší do rámečku B (2) v příloze B.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Důležité: </w:t>
      </w:r>
      <w:r>
        <w:rPr>
          <w:rFonts w:ascii="Arial" w:hAnsi="Arial" w:cs="Arial"/>
        </w:rPr>
        <w:t>Údaje podniků, které jsou propojeny s podnikem podávajícím žádost, jsou získány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 jejich účtů a jejich ostatních údajů, případně konsolidovaných, jsou-li takové. S těmito údaji jsou poměrně agregovány údaje o všech případných partnerských podnicích tohoto propojeného podniku, které na ně bezprostředně navazují, ledaže již byly zahrnuty v rámci konsolidace.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Tyto partnerské podniky jsou pokládány za přímé partnerské podniky podniku podávajícího žádost. Jejich údaje a „list partnera“ se proto připojí do přílohy A.</w: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29568" from="9.75pt,533.25pt" to="153.8pt,533.25pt" o:allowincell="f" strokeweight=".48pt"/>
        </w:pict>
      </w: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5CAE" w:rsidRDefault="00E95CAE" w:rsidP="00E95CAE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  <w:vertAlign w:val="superscript"/>
        </w:rPr>
        <w:t>107</w:t>
      </w:r>
      <w:r>
        <w:rPr>
          <w:rFonts w:ascii="Arial" w:hAnsi="Arial" w:cs="Arial"/>
          <w:sz w:val="20"/>
          <w:szCs w:val="20"/>
        </w:rPr>
        <w:t xml:space="preserve"> Jsou-li údaje podniku zahrnuty do konsolidované účetní závěrky v menším rozsahu, než je stanoveno podle čl. 6 odst. 2, použije se procentní podíl podle tohoto článku (definice čl. 6 odst. 3 </w:t>
      </w:r>
      <w:proofErr w:type="spellStart"/>
      <w:r>
        <w:rPr>
          <w:rFonts w:ascii="Arial" w:hAnsi="Arial" w:cs="Arial"/>
          <w:sz w:val="20"/>
          <w:szCs w:val="20"/>
        </w:rPr>
        <w:t>pododst</w:t>
      </w:r>
      <w:proofErr w:type="spellEnd"/>
      <w:r>
        <w:rPr>
          <w:rFonts w:ascii="Arial" w:hAnsi="Arial" w:cs="Arial"/>
          <w:sz w:val="20"/>
          <w:szCs w:val="20"/>
        </w:rPr>
        <w:t xml:space="preserve"> 2).</w:t>
      </w:r>
    </w:p>
    <w:sectPr w:rsidR="00E95CAE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CAE"/>
    <w:rsid w:val="003023DE"/>
    <w:rsid w:val="003860AD"/>
    <w:rsid w:val="00547DDB"/>
    <w:rsid w:val="009A64B2"/>
    <w:rsid w:val="009E1C76"/>
    <w:rsid w:val="00B757E8"/>
    <w:rsid w:val="00B96A73"/>
    <w:rsid w:val="00BC4667"/>
    <w:rsid w:val="00DF773A"/>
    <w:rsid w:val="00E9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CAE"/>
    <w:pPr>
      <w:spacing w:after="200"/>
      <w:ind w:right="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4379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2017-12-06T10:10:00Z</dcterms:created>
  <dcterms:modified xsi:type="dcterms:W3CDTF">2017-12-06T10:18:00Z</dcterms:modified>
</cp:coreProperties>
</file>