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A6" w:rsidRPr="005100A6" w:rsidRDefault="005100A6" w:rsidP="005100A6">
      <w:pPr>
        <w:pStyle w:val="Nadpis3"/>
        <w:numPr>
          <w:ilvl w:val="0"/>
          <w:numId w:val="0"/>
        </w:numPr>
        <w:ind w:left="720" w:hanging="720"/>
      </w:pPr>
      <w:bookmarkStart w:id="0" w:name="_Toc461185716"/>
      <w:r w:rsidRPr="005100A6">
        <w:t>PS „INFRASTRUKTURA“ – výstupy</w:t>
      </w:r>
      <w:bookmarkEnd w:id="0"/>
    </w:p>
    <w:p w:rsidR="005100A6" w:rsidRPr="005100A6" w:rsidRDefault="005100A6" w:rsidP="005100A6">
      <w:r w:rsidRPr="005100A6">
        <w:t xml:space="preserve">Dle četnosti problémů zájmového území, jak je určili účastníci sehrávek, se na 2. místě v rámci problémového okruhu „Infrastruktura“ umístil problém odpadních komunálních vod, na 3. místě problém místních komunikací, na 5. místě problém pitné vody, shodně na 8. místě údržba veřejného prostranství a údržba zeleně a oprava silnic, na 10. místě se objevil problém budov a nemovitého majetku, na 14. místě problém rybníků a na 15. místě problém údržby silnic viz </w:t>
      </w:r>
      <w:fldSimple w:instr=" REF _Ref447093534 \h  \* MERGEFORMAT ">
        <w:r w:rsidRPr="005100A6">
          <w:rPr>
            <w:b/>
            <w:szCs w:val="24"/>
          </w:rPr>
          <w:t xml:space="preserve">tabulka </w:t>
        </w:r>
        <w:r w:rsidRPr="005100A6">
          <w:rPr>
            <w:b/>
            <w:noProof/>
            <w:szCs w:val="24"/>
          </w:rPr>
          <w:t>52</w:t>
        </w:r>
      </w:fldSimple>
    </w:p>
    <w:p w:rsidR="005100A6" w:rsidRPr="005100A6" w:rsidRDefault="005100A6" w:rsidP="005100A6">
      <w:pPr>
        <w:pStyle w:val="Titulek"/>
        <w:rPr>
          <w:color w:val="auto"/>
          <w:sz w:val="24"/>
          <w:szCs w:val="24"/>
        </w:rPr>
      </w:pPr>
      <w:bookmarkStart w:id="1" w:name="_Ref447093534"/>
      <w:bookmarkStart w:id="2" w:name="_Toc445458933"/>
      <w:bookmarkStart w:id="3" w:name="_Toc446407677"/>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52</w:t>
      </w:r>
      <w:r w:rsidR="000A32E8" w:rsidRPr="005100A6">
        <w:rPr>
          <w:b/>
          <w:color w:val="auto"/>
          <w:sz w:val="24"/>
          <w:szCs w:val="24"/>
        </w:rPr>
        <w:fldChar w:fldCharType="end"/>
      </w:r>
      <w:bookmarkEnd w:id="1"/>
      <w:r w:rsidRPr="005100A6">
        <w:rPr>
          <w:color w:val="auto"/>
          <w:sz w:val="24"/>
          <w:szCs w:val="24"/>
        </w:rPr>
        <w:t>: Identifikované problémy území v rámci problémového okruhu „Infrastruktura“</w:t>
      </w:r>
      <w:bookmarkEnd w:id="2"/>
      <w:bookmarkEnd w:id="3"/>
    </w:p>
    <w:tbl>
      <w:tblPr>
        <w:tblW w:w="7219" w:type="dxa"/>
        <w:tblInd w:w="55" w:type="dxa"/>
        <w:tblCellMar>
          <w:left w:w="70" w:type="dxa"/>
          <w:right w:w="70" w:type="dxa"/>
        </w:tblCellMar>
        <w:tblLook w:val="04A0"/>
      </w:tblPr>
      <w:tblGrid>
        <w:gridCol w:w="1532"/>
        <w:gridCol w:w="1532"/>
        <w:gridCol w:w="2005"/>
        <w:gridCol w:w="2150"/>
      </w:tblGrid>
      <w:tr w:rsidR="005100A6" w:rsidRPr="005100A6" w:rsidTr="00AE1C8F">
        <w:trPr>
          <w:trHeight w:val="615"/>
        </w:trPr>
        <w:tc>
          <w:tcPr>
            <w:tcW w:w="1532" w:type="dxa"/>
            <w:tcBorders>
              <w:top w:val="single" w:sz="4" w:space="0" w:color="auto"/>
              <w:left w:val="single" w:sz="4" w:space="0" w:color="auto"/>
              <w:bottom w:val="single" w:sz="4" w:space="0" w:color="auto"/>
              <w:right w:val="single" w:sz="4" w:space="0" w:color="auto"/>
            </w:tcBorders>
            <w:shd w:val="clear" w:color="000000" w:fill="BFBFBF"/>
            <w:vAlign w:val="center"/>
          </w:tcPr>
          <w:p w:rsidR="005100A6" w:rsidRPr="005100A6" w:rsidRDefault="005100A6" w:rsidP="00AE1C8F">
            <w:pPr>
              <w:jc w:val="center"/>
              <w:rPr>
                <w:b/>
                <w:bCs/>
                <w:color w:val="000000"/>
              </w:rPr>
            </w:pPr>
            <w:r w:rsidRPr="005100A6">
              <w:rPr>
                <w:b/>
                <w:bCs/>
                <w:color w:val="000000"/>
              </w:rPr>
              <w:t>Umístění problému</w:t>
            </w:r>
          </w:p>
        </w:tc>
        <w:tc>
          <w:tcPr>
            <w:tcW w:w="153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100A6" w:rsidRPr="005100A6" w:rsidRDefault="005100A6" w:rsidP="00AE1C8F">
            <w:pPr>
              <w:jc w:val="center"/>
              <w:rPr>
                <w:b/>
                <w:bCs/>
                <w:color w:val="000000"/>
              </w:rPr>
            </w:pPr>
            <w:r w:rsidRPr="005100A6">
              <w:rPr>
                <w:b/>
                <w:bCs/>
                <w:color w:val="000000"/>
              </w:rPr>
              <w:t>Kategorie 1</w:t>
            </w:r>
          </w:p>
        </w:tc>
        <w:tc>
          <w:tcPr>
            <w:tcW w:w="2005" w:type="dxa"/>
            <w:tcBorders>
              <w:top w:val="single" w:sz="4" w:space="0" w:color="auto"/>
              <w:left w:val="nil"/>
              <w:bottom w:val="single" w:sz="4" w:space="0" w:color="auto"/>
              <w:right w:val="single" w:sz="4" w:space="0" w:color="auto"/>
            </w:tcBorders>
            <w:shd w:val="clear" w:color="000000" w:fill="BFBFBF"/>
            <w:noWrap/>
            <w:vAlign w:val="center"/>
            <w:hideMark/>
          </w:tcPr>
          <w:p w:rsidR="005100A6" w:rsidRPr="005100A6" w:rsidRDefault="005100A6" w:rsidP="00AE1C8F">
            <w:pPr>
              <w:jc w:val="center"/>
              <w:rPr>
                <w:b/>
                <w:bCs/>
                <w:color w:val="000000"/>
              </w:rPr>
            </w:pPr>
            <w:r w:rsidRPr="005100A6">
              <w:rPr>
                <w:b/>
                <w:bCs/>
                <w:color w:val="000000"/>
              </w:rPr>
              <w:t>Kategorie 2</w:t>
            </w:r>
          </w:p>
        </w:tc>
        <w:tc>
          <w:tcPr>
            <w:tcW w:w="2150" w:type="dxa"/>
            <w:tcBorders>
              <w:top w:val="single" w:sz="4" w:space="0" w:color="auto"/>
              <w:left w:val="nil"/>
              <w:bottom w:val="single" w:sz="4" w:space="0" w:color="auto"/>
              <w:right w:val="single" w:sz="4" w:space="0" w:color="auto"/>
            </w:tcBorders>
            <w:shd w:val="clear" w:color="000000" w:fill="BFBFBF"/>
            <w:noWrap/>
            <w:vAlign w:val="center"/>
            <w:hideMark/>
          </w:tcPr>
          <w:p w:rsidR="005100A6" w:rsidRPr="005100A6" w:rsidRDefault="005100A6" w:rsidP="00AE1C8F">
            <w:pPr>
              <w:jc w:val="center"/>
              <w:rPr>
                <w:b/>
                <w:bCs/>
                <w:color w:val="000000"/>
              </w:rPr>
            </w:pPr>
            <w:r w:rsidRPr="005100A6">
              <w:rPr>
                <w:b/>
                <w:bCs/>
                <w:color w:val="000000"/>
              </w:rPr>
              <w:t>Kategorie 3</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2</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voda</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odpadní vody</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3</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komunikace</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místní komunikace</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5</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voda</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pitná voda</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8</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komunikace</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oprava silnice</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8</w:t>
            </w:r>
          </w:p>
        </w:tc>
        <w:tc>
          <w:tcPr>
            <w:tcW w:w="1532" w:type="dxa"/>
            <w:tcBorders>
              <w:top w:val="nil"/>
              <w:left w:val="single" w:sz="4" w:space="0" w:color="auto"/>
              <w:bottom w:val="single" w:sz="4" w:space="0" w:color="auto"/>
              <w:right w:val="single" w:sz="4" w:space="0" w:color="auto"/>
            </w:tcBorders>
            <w:shd w:val="clear" w:color="auto" w:fill="2DF612"/>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vAlign w:val="center"/>
            <w:hideMark/>
          </w:tcPr>
          <w:p w:rsidR="005100A6" w:rsidRPr="005100A6" w:rsidRDefault="005100A6" w:rsidP="00AE1C8F">
            <w:pPr>
              <w:spacing w:line="240" w:lineRule="auto"/>
              <w:jc w:val="center"/>
              <w:rPr>
                <w:rFonts w:eastAsiaTheme="majorEastAsia"/>
              </w:rPr>
            </w:pPr>
            <w:r w:rsidRPr="005100A6">
              <w:rPr>
                <w:rFonts w:eastAsiaTheme="majorEastAsia"/>
              </w:rPr>
              <w:t>veřejná prostranství a údržba veřejných prostranství</w:t>
            </w:r>
          </w:p>
        </w:tc>
        <w:tc>
          <w:tcPr>
            <w:tcW w:w="2150" w:type="dxa"/>
            <w:tcBorders>
              <w:top w:val="nil"/>
              <w:left w:val="nil"/>
              <w:bottom w:val="single" w:sz="4" w:space="0" w:color="auto"/>
              <w:right w:val="single" w:sz="4" w:space="0" w:color="auto"/>
            </w:tcBorders>
            <w:shd w:val="clear" w:color="auto" w:fill="2DF612"/>
            <w:vAlign w:val="center"/>
            <w:hideMark/>
          </w:tcPr>
          <w:p w:rsidR="005100A6" w:rsidRPr="005100A6" w:rsidRDefault="005100A6" w:rsidP="00AE1C8F">
            <w:pPr>
              <w:spacing w:line="240" w:lineRule="auto"/>
              <w:jc w:val="center"/>
              <w:rPr>
                <w:rFonts w:eastAsiaTheme="majorEastAsia"/>
              </w:rPr>
            </w:pPr>
            <w:r w:rsidRPr="005100A6">
              <w:rPr>
                <w:rFonts w:eastAsiaTheme="majorEastAsia"/>
              </w:rPr>
              <w:t>-</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10</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budovy a nemovitý majetek</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14</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voda</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rybníky</w:t>
            </w:r>
          </w:p>
        </w:tc>
      </w:tr>
      <w:tr w:rsidR="005100A6" w:rsidRPr="005100A6" w:rsidTr="00AE1C8F">
        <w:trPr>
          <w:trHeight w:val="340"/>
        </w:trPr>
        <w:tc>
          <w:tcPr>
            <w:tcW w:w="1532" w:type="dxa"/>
            <w:tcBorders>
              <w:top w:val="nil"/>
              <w:left w:val="single" w:sz="4" w:space="0" w:color="auto"/>
              <w:bottom w:val="single" w:sz="4" w:space="0" w:color="auto"/>
              <w:right w:val="single" w:sz="4" w:space="0" w:color="auto"/>
            </w:tcBorders>
            <w:shd w:val="clear" w:color="auto" w:fill="2DF612"/>
            <w:vAlign w:val="center"/>
          </w:tcPr>
          <w:p w:rsidR="005100A6" w:rsidRPr="005100A6" w:rsidRDefault="005100A6" w:rsidP="00AE1C8F">
            <w:pPr>
              <w:spacing w:line="240" w:lineRule="auto"/>
              <w:jc w:val="center"/>
              <w:rPr>
                <w:rFonts w:eastAsiaTheme="majorEastAsia"/>
              </w:rPr>
            </w:pPr>
            <w:r w:rsidRPr="005100A6">
              <w:rPr>
                <w:rFonts w:eastAsiaTheme="majorEastAsia"/>
              </w:rPr>
              <w:t>15</w:t>
            </w:r>
          </w:p>
        </w:tc>
        <w:tc>
          <w:tcPr>
            <w:tcW w:w="1532" w:type="dxa"/>
            <w:tcBorders>
              <w:top w:val="nil"/>
              <w:left w:val="single" w:sz="4" w:space="0" w:color="auto"/>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b/>
              </w:rPr>
            </w:pPr>
            <w:r w:rsidRPr="005100A6">
              <w:rPr>
                <w:rFonts w:eastAsiaTheme="majorEastAsia"/>
                <w:b/>
              </w:rPr>
              <w:t>infrastruktura</w:t>
            </w:r>
          </w:p>
        </w:tc>
        <w:tc>
          <w:tcPr>
            <w:tcW w:w="2005"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komunikace</w:t>
            </w:r>
          </w:p>
        </w:tc>
        <w:tc>
          <w:tcPr>
            <w:tcW w:w="2150" w:type="dxa"/>
            <w:tcBorders>
              <w:top w:val="nil"/>
              <w:left w:val="nil"/>
              <w:bottom w:val="single" w:sz="4" w:space="0" w:color="auto"/>
              <w:right w:val="single" w:sz="4" w:space="0" w:color="auto"/>
            </w:tcBorders>
            <w:shd w:val="clear" w:color="auto" w:fill="2DF612"/>
            <w:noWrap/>
            <w:vAlign w:val="center"/>
            <w:hideMark/>
          </w:tcPr>
          <w:p w:rsidR="005100A6" w:rsidRPr="005100A6" w:rsidRDefault="005100A6" w:rsidP="00AE1C8F">
            <w:pPr>
              <w:spacing w:line="240" w:lineRule="auto"/>
              <w:jc w:val="center"/>
              <w:rPr>
                <w:rFonts w:eastAsiaTheme="majorEastAsia"/>
              </w:rPr>
            </w:pPr>
            <w:r w:rsidRPr="005100A6">
              <w:rPr>
                <w:rFonts w:eastAsiaTheme="majorEastAsia"/>
              </w:rPr>
              <w:t>údržba</w:t>
            </w:r>
          </w:p>
        </w:tc>
      </w:tr>
    </w:tbl>
    <w:p w:rsidR="005100A6" w:rsidRPr="005100A6" w:rsidRDefault="005100A6" w:rsidP="005100A6">
      <w:pPr>
        <w:pStyle w:val="DecimalAligned"/>
        <w:tabs>
          <w:tab w:val="clear" w:pos="360"/>
        </w:tabs>
        <w:spacing w:after="0" w:line="360" w:lineRule="auto"/>
        <w:rPr>
          <w:rFonts w:ascii="Times New Roman" w:hAnsi="Times New Roman"/>
          <w:lang w:eastAsia="cs-CZ"/>
        </w:rPr>
      </w:pPr>
      <w:r w:rsidRPr="005100A6">
        <w:rPr>
          <w:rFonts w:ascii="Times New Roman" w:hAnsi="Times New Roman"/>
          <w:lang w:eastAsia="cs-CZ"/>
        </w:rPr>
        <w:t>Zdroj: vlastní šetření</w:t>
      </w:r>
    </w:p>
    <w:p w:rsidR="005100A6" w:rsidRPr="005100A6" w:rsidRDefault="005100A6" w:rsidP="005100A6">
      <w:pPr>
        <w:rPr>
          <w:b/>
        </w:rPr>
      </w:pPr>
    </w:p>
    <w:p w:rsidR="005100A6" w:rsidRPr="005100A6" w:rsidRDefault="005100A6" w:rsidP="005100A6">
      <w:pPr>
        <w:rPr>
          <w:b/>
        </w:rPr>
      </w:pPr>
      <w:r w:rsidRPr="005100A6">
        <w:rPr>
          <w:b/>
        </w:rPr>
        <w:t>1. Schůzka PS „Infrastruktura“</w:t>
      </w:r>
    </w:p>
    <w:p w:rsidR="005100A6" w:rsidRPr="005100A6" w:rsidRDefault="005100A6" w:rsidP="005100A6">
      <w:pPr>
        <w:rPr>
          <w:b/>
        </w:rPr>
      </w:pPr>
    </w:p>
    <w:p w:rsidR="005100A6" w:rsidRPr="005100A6" w:rsidRDefault="005100A6" w:rsidP="005100A6">
      <w:r w:rsidRPr="005100A6">
        <w:t>Členové PS „Infrastruktura“ se k první pracovní schůzce, která se konala 28. května 2014, dostavili do prostor obecní klubovny v Hartvíkově. Facilitátorem této schůzky byl Ing. Petr Hienl.</w:t>
      </w:r>
    </w:p>
    <w:p w:rsidR="005100A6" w:rsidRPr="005100A6" w:rsidRDefault="005100A6" w:rsidP="005100A6"/>
    <w:p w:rsidR="005100A6" w:rsidRPr="005100A6" w:rsidRDefault="005100A6" w:rsidP="005100A6">
      <w:r w:rsidRPr="005100A6">
        <w:t xml:space="preserve">PS se během této první schůzky zaměřila na identifikaci příčin, které významně přispívají k vzniku problémů z oblasti infrastruktury, jak byly obyvateli zájmového území určeny. A dále se pod vedením facilitátora zabývala, s využitím metody „brainstormingu“, hledáním možností řešení identifikovaných příčin problémů, jak vyplynuly z provedených sehrávek, a také určením pořadí důležitosti příčin konkrétních analyzovaných problémů. Pořadí důležitosti příčin problémů, jak je uvedeno v následujících tabulkách, určili účastníci sehrávky tak, že každý přidělil vždy tři body třem rozdílným příčinám. Podle toho, kolik byl té či oné příčině přidělen členy PS celkový počet bodů, bylo provedeno </w:t>
      </w:r>
      <w:r w:rsidRPr="005100A6">
        <w:lastRenderedPageBreak/>
        <w:t>sestupné řazení od příčin s nejvyšším počtem přidělených bodů až po nejméně preferované, viz Přílohy k analytické části, Výstupy z PS1 Infrastruktura.</w:t>
      </w:r>
    </w:p>
    <w:p w:rsidR="005100A6" w:rsidRPr="005100A6" w:rsidRDefault="005100A6" w:rsidP="005100A6">
      <w:pPr>
        <w:pStyle w:val="Titulek"/>
        <w:rPr>
          <w:color w:val="auto"/>
          <w:sz w:val="24"/>
          <w:szCs w:val="24"/>
        </w:rPr>
      </w:pPr>
      <w:bookmarkStart w:id="4" w:name="_Toc445458934"/>
      <w:bookmarkStart w:id="5" w:name="_Toc446407678"/>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53</w:t>
      </w:r>
      <w:r w:rsidR="000A32E8" w:rsidRPr="005100A6">
        <w:rPr>
          <w:b/>
          <w:color w:val="auto"/>
          <w:sz w:val="24"/>
          <w:szCs w:val="24"/>
        </w:rPr>
        <w:fldChar w:fldCharType="end"/>
      </w:r>
      <w:r w:rsidRPr="005100A6">
        <w:rPr>
          <w:color w:val="auto"/>
          <w:sz w:val="24"/>
          <w:szCs w:val="24"/>
        </w:rPr>
        <w:t>: Identifikace příčin analyzovaného problému „odpadní vody“ a návrh řešení</w:t>
      </w:r>
      <w:bookmarkEnd w:id="4"/>
      <w:bookmarkEnd w:id="5"/>
    </w:p>
    <w:tbl>
      <w:tblPr>
        <w:tblStyle w:val="Mkatabulky"/>
        <w:tblW w:w="0" w:type="auto"/>
        <w:tblLook w:val="04A0"/>
      </w:tblPr>
      <w:tblGrid>
        <w:gridCol w:w="3638"/>
        <w:gridCol w:w="3531"/>
        <w:gridCol w:w="2119"/>
      </w:tblGrid>
      <w:tr w:rsidR="005100A6" w:rsidRPr="005100A6" w:rsidTr="00AE1C8F">
        <w:trPr>
          <w:trHeight w:val="567"/>
        </w:trPr>
        <w:tc>
          <w:tcPr>
            <w:tcW w:w="9322" w:type="dxa"/>
            <w:gridSpan w:val="3"/>
            <w:shd w:val="clear" w:color="auto" w:fill="00FF00"/>
            <w:vAlign w:val="center"/>
          </w:tcPr>
          <w:p w:rsidR="005100A6" w:rsidRPr="005100A6" w:rsidRDefault="005100A6" w:rsidP="00AE1C8F">
            <w:pPr>
              <w:jc w:val="center"/>
              <w:rPr>
                <w:b/>
                <w:sz w:val="28"/>
                <w:szCs w:val="28"/>
              </w:rPr>
            </w:pPr>
            <w:r w:rsidRPr="005100A6">
              <w:rPr>
                <w:rFonts w:eastAsiaTheme="majorEastAsia"/>
                <w:b/>
                <w:sz w:val="28"/>
                <w:szCs w:val="28"/>
              </w:rPr>
              <w:t>Problém č. 1: „Odpadní vody“</w:t>
            </w:r>
          </w:p>
        </w:tc>
      </w:tr>
      <w:tr w:rsidR="005100A6" w:rsidRPr="005100A6" w:rsidTr="00AE1C8F">
        <w:trPr>
          <w:trHeight w:val="510"/>
        </w:trPr>
        <w:tc>
          <w:tcPr>
            <w:tcW w:w="3652"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Příčiny problému identifikované PS</w:t>
            </w:r>
          </w:p>
        </w:tc>
        <w:tc>
          <w:tcPr>
            <w:tcW w:w="3544"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Možnosti řešení příčiny problému navržené PS</w:t>
            </w:r>
          </w:p>
        </w:tc>
        <w:tc>
          <w:tcPr>
            <w:tcW w:w="2126"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Pořadí důležitosti určené PS</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9.Vlastnické vztahy</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9. Pozemkové úpravy</w:t>
            </w:r>
          </w:p>
        </w:tc>
        <w:tc>
          <w:tcPr>
            <w:tcW w:w="2126" w:type="dxa"/>
            <w:vAlign w:val="center"/>
          </w:tcPr>
          <w:p w:rsidR="005100A6" w:rsidRPr="005100A6" w:rsidRDefault="005100A6" w:rsidP="00AE1C8F">
            <w:pPr>
              <w:jc w:val="center"/>
              <w:rPr>
                <w:szCs w:val="24"/>
              </w:rPr>
            </w:pPr>
            <w:r w:rsidRPr="005100A6">
              <w:rPr>
                <w:szCs w:val="24"/>
              </w:rPr>
              <w:t>1</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1.Legislativa v souvislosti s malými ČOV</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 Dávat podněty legislativcům</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2</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8. Striktní požadavky legislativy</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8.Tlak na legislativu</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2</w:t>
            </w:r>
          </w:p>
        </w:tc>
      </w:tr>
      <w:tr w:rsidR="005100A6" w:rsidRPr="005100A6" w:rsidTr="00AE1C8F">
        <w:trPr>
          <w:trHeight w:val="298"/>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7. Nepovolování jímek na vyvážení do ČOV</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7.Tlak na legislativu</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3</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 Neschůdné technické řešení</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 Snížení finanční náročnosti</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4</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6. Využívají se mycí prostředky s obsahem fosfátu</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6. Environmentální výchova</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4</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 Historický výpadek řešení ze strany státu</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 Osvěta, environmentální výchova</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5</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Představa, že malá zátěž neškodí</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Osvěta, environmentální výchova</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5</w:t>
            </w:r>
          </w:p>
        </w:tc>
      </w:tr>
      <w:tr w:rsidR="005100A6" w:rsidRPr="005100A6" w:rsidTr="00AE1C8F">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5.Ukončení záhumenkového hospodaření</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5. Obnova záhumenkového hospodaření</w:t>
            </w:r>
          </w:p>
        </w:tc>
        <w:tc>
          <w:tcPr>
            <w:tcW w:w="2126" w:type="dxa"/>
            <w:vAlign w:val="center"/>
          </w:tcPr>
          <w:p w:rsidR="005100A6" w:rsidRPr="005100A6" w:rsidRDefault="005100A6" w:rsidP="00AE1C8F">
            <w:pPr>
              <w:jc w:val="center"/>
              <w:rPr>
                <w:rFonts w:eastAsiaTheme="majorEastAsia"/>
                <w:sz w:val="24"/>
                <w:szCs w:val="24"/>
              </w:rPr>
            </w:pPr>
            <w:r w:rsidRPr="005100A6">
              <w:rPr>
                <w:rFonts w:eastAsiaTheme="majorEastAsia"/>
                <w:sz w:val="24"/>
                <w:szCs w:val="24"/>
              </w:rPr>
              <w:t>5</w:t>
            </w:r>
          </w:p>
        </w:tc>
      </w:tr>
    </w:tbl>
    <w:p w:rsidR="005100A6" w:rsidRPr="005100A6" w:rsidRDefault="005100A6" w:rsidP="005100A6">
      <w:pPr>
        <w:rPr>
          <w:szCs w:val="24"/>
        </w:rPr>
      </w:pPr>
      <w:r w:rsidRPr="005100A6">
        <w:rPr>
          <w:szCs w:val="24"/>
        </w:rPr>
        <w:t>Zdroj: PS „Infrastruktura“, 25. 5. 2014</w:t>
      </w:r>
    </w:p>
    <w:p w:rsidR="005100A6" w:rsidRPr="005100A6" w:rsidRDefault="005100A6" w:rsidP="005100A6">
      <w:pPr>
        <w:spacing w:after="160" w:line="259" w:lineRule="auto"/>
        <w:rPr>
          <w:szCs w:val="24"/>
        </w:rPr>
      </w:pPr>
    </w:p>
    <w:p w:rsidR="005100A6" w:rsidRPr="005100A6" w:rsidRDefault="005100A6" w:rsidP="005100A6">
      <w:pPr>
        <w:pStyle w:val="Titulek"/>
        <w:rPr>
          <w:color w:val="auto"/>
          <w:sz w:val="24"/>
          <w:szCs w:val="24"/>
        </w:rPr>
      </w:pPr>
      <w:bookmarkStart w:id="6" w:name="_Toc445458935"/>
      <w:bookmarkStart w:id="7" w:name="_Toc446407679"/>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54</w:t>
      </w:r>
      <w:r w:rsidR="000A32E8" w:rsidRPr="005100A6">
        <w:rPr>
          <w:b/>
          <w:color w:val="auto"/>
          <w:sz w:val="24"/>
          <w:szCs w:val="24"/>
        </w:rPr>
        <w:fldChar w:fldCharType="end"/>
      </w:r>
      <w:r w:rsidRPr="005100A6">
        <w:rPr>
          <w:color w:val="auto"/>
          <w:sz w:val="24"/>
          <w:szCs w:val="24"/>
        </w:rPr>
        <w:t>: Identifikace příčin analyzovaného problému „místní komunikace“a návrhy řešení</w:t>
      </w:r>
      <w:bookmarkEnd w:id="6"/>
      <w:bookmarkEnd w:id="7"/>
    </w:p>
    <w:tbl>
      <w:tblPr>
        <w:tblStyle w:val="Mkatabulky"/>
        <w:tblpPr w:leftFromText="142" w:rightFromText="142" w:vertAnchor="text" w:horzAnchor="margin" w:tblpY="191"/>
        <w:tblW w:w="0" w:type="auto"/>
        <w:tblLook w:val="04A0"/>
      </w:tblPr>
      <w:tblGrid>
        <w:gridCol w:w="3601"/>
        <w:gridCol w:w="3486"/>
        <w:gridCol w:w="2201"/>
      </w:tblGrid>
      <w:tr w:rsidR="005100A6" w:rsidRPr="005100A6" w:rsidTr="00AE1C8F">
        <w:trPr>
          <w:trHeight w:val="567"/>
        </w:trPr>
        <w:tc>
          <w:tcPr>
            <w:tcW w:w="9423" w:type="dxa"/>
            <w:gridSpan w:val="3"/>
            <w:shd w:val="clear" w:color="auto" w:fill="00FF00"/>
            <w:vAlign w:val="center"/>
          </w:tcPr>
          <w:p w:rsidR="005100A6" w:rsidRPr="005100A6" w:rsidRDefault="005100A6" w:rsidP="00AE1C8F">
            <w:pPr>
              <w:jc w:val="center"/>
              <w:rPr>
                <w:b/>
                <w:sz w:val="28"/>
                <w:szCs w:val="28"/>
              </w:rPr>
            </w:pPr>
            <w:r w:rsidRPr="005100A6">
              <w:rPr>
                <w:rFonts w:eastAsiaTheme="majorEastAsia"/>
                <w:b/>
                <w:sz w:val="28"/>
                <w:szCs w:val="28"/>
              </w:rPr>
              <w:t>Problém č.2: „Místní komunikace“</w:t>
            </w:r>
          </w:p>
        </w:tc>
      </w:tr>
      <w:tr w:rsidR="005100A6" w:rsidRPr="005100A6" w:rsidTr="00AE1C8F">
        <w:trPr>
          <w:trHeight w:val="516"/>
        </w:trPr>
        <w:tc>
          <w:tcPr>
            <w:tcW w:w="3652"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Příčiny problému identifikované PS</w:t>
            </w:r>
          </w:p>
        </w:tc>
        <w:tc>
          <w:tcPr>
            <w:tcW w:w="3544"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Možnosti řešení příčiny problému navržené PS</w:t>
            </w:r>
          </w:p>
        </w:tc>
        <w:tc>
          <w:tcPr>
            <w:tcW w:w="2227"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Pořadí důležitosti určené PS</w:t>
            </w:r>
          </w:p>
        </w:tc>
      </w:tr>
      <w:tr w:rsidR="005100A6" w:rsidRPr="005100A6" w:rsidTr="00AE1C8F">
        <w:trPr>
          <w:trHeight w:val="258"/>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 Vlastnické vztahy</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 Pozemkové úpravy (+ÚP)</w:t>
            </w:r>
          </w:p>
        </w:tc>
        <w:tc>
          <w:tcPr>
            <w:tcW w:w="2227" w:type="dxa"/>
            <w:vAlign w:val="center"/>
          </w:tcPr>
          <w:p w:rsidR="005100A6" w:rsidRPr="005100A6" w:rsidRDefault="005100A6" w:rsidP="00AE1C8F">
            <w:pPr>
              <w:jc w:val="center"/>
              <w:rPr>
                <w:szCs w:val="24"/>
              </w:rPr>
            </w:pPr>
            <w:r w:rsidRPr="005100A6">
              <w:rPr>
                <w:szCs w:val="24"/>
              </w:rPr>
              <w:t>1</w:t>
            </w:r>
          </w:p>
        </w:tc>
      </w:tr>
      <w:tr w:rsidR="005100A6" w:rsidRPr="005100A6" w:rsidTr="00AE1C8F">
        <w:trPr>
          <w:trHeight w:val="516"/>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 Na místní komunikace se nepřerozděluje silniční daň</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 Legislativa</w:t>
            </w:r>
          </w:p>
        </w:tc>
        <w:tc>
          <w:tcPr>
            <w:tcW w:w="2227" w:type="dxa"/>
            <w:vAlign w:val="center"/>
          </w:tcPr>
          <w:p w:rsidR="005100A6" w:rsidRPr="005100A6" w:rsidRDefault="005100A6" w:rsidP="00AE1C8F">
            <w:pPr>
              <w:jc w:val="center"/>
              <w:rPr>
                <w:szCs w:val="24"/>
              </w:rPr>
            </w:pPr>
            <w:r w:rsidRPr="005100A6">
              <w:rPr>
                <w:szCs w:val="24"/>
              </w:rPr>
              <w:t>2</w:t>
            </w:r>
          </w:p>
        </w:tc>
      </w:tr>
      <w:tr w:rsidR="005100A6" w:rsidRPr="005100A6" w:rsidTr="00AE1C8F">
        <w:trPr>
          <w:trHeight w:val="775"/>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6. Špatná zemědělská politika a špatná energetická politika (bioplyn. stanice)</w:t>
            </w:r>
          </w:p>
        </w:tc>
        <w:tc>
          <w:tcPr>
            <w:tcW w:w="3544" w:type="dxa"/>
            <w:vAlign w:val="center"/>
          </w:tcPr>
          <w:p w:rsidR="005100A6" w:rsidRPr="005100A6" w:rsidRDefault="005100A6" w:rsidP="00AE1C8F">
            <w:pPr>
              <w:rPr>
                <w:rFonts w:eastAsiaTheme="majorEastAsia"/>
                <w:sz w:val="24"/>
                <w:szCs w:val="24"/>
              </w:rPr>
            </w:pPr>
          </w:p>
        </w:tc>
        <w:tc>
          <w:tcPr>
            <w:tcW w:w="2227" w:type="dxa"/>
            <w:vAlign w:val="center"/>
          </w:tcPr>
          <w:p w:rsidR="005100A6" w:rsidRPr="005100A6" w:rsidRDefault="005100A6" w:rsidP="00AE1C8F">
            <w:pPr>
              <w:jc w:val="center"/>
              <w:rPr>
                <w:szCs w:val="24"/>
              </w:rPr>
            </w:pPr>
            <w:r w:rsidRPr="005100A6">
              <w:rPr>
                <w:szCs w:val="24"/>
              </w:rPr>
              <w:t>2</w:t>
            </w:r>
          </w:p>
        </w:tc>
      </w:tr>
      <w:tr w:rsidR="005100A6" w:rsidRPr="005100A6" w:rsidTr="00AE1C8F">
        <w:trPr>
          <w:trHeight w:val="243"/>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2.Rozsáhlost sítě</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 Finanční spoluúčast uživatelů</w:t>
            </w:r>
          </w:p>
        </w:tc>
        <w:tc>
          <w:tcPr>
            <w:tcW w:w="2227" w:type="dxa"/>
            <w:vAlign w:val="center"/>
          </w:tcPr>
          <w:p w:rsidR="005100A6" w:rsidRPr="005100A6" w:rsidRDefault="005100A6" w:rsidP="00AE1C8F">
            <w:pPr>
              <w:jc w:val="center"/>
              <w:rPr>
                <w:szCs w:val="24"/>
              </w:rPr>
            </w:pPr>
            <w:r w:rsidRPr="005100A6">
              <w:rPr>
                <w:szCs w:val="24"/>
              </w:rPr>
              <w:t>3</w:t>
            </w:r>
          </w:p>
        </w:tc>
      </w:tr>
      <w:tr w:rsidR="005100A6" w:rsidRPr="005100A6" w:rsidTr="00AE1C8F">
        <w:trPr>
          <w:trHeight w:val="760"/>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Neodpovídají technické parametry současné technice (zemědělci, lesníci,…)</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Legislativa – úprava leg. ve prospěch obcí (zvýšení možnosti omezit průjezd obcí)</w:t>
            </w:r>
          </w:p>
        </w:tc>
        <w:tc>
          <w:tcPr>
            <w:tcW w:w="2227" w:type="dxa"/>
            <w:vAlign w:val="center"/>
          </w:tcPr>
          <w:p w:rsidR="005100A6" w:rsidRPr="005100A6" w:rsidRDefault="005100A6" w:rsidP="00AE1C8F">
            <w:pPr>
              <w:jc w:val="center"/>
              <w:rPr>
                <w:szCs w:val="24"/>
              </w:rPr>
            </w:pPr>
            <w:r w:rsidRPr="005100A6">
              <w:rPr>
                <w:szCs w:val="24"/>
              </w:rPr>
              <w:t>4</w:t>
            </w:r>
          </w:p>
        </w:tc>
      </w:tr>
      <w:tr w:rsidR="005100A6" w:rsidRPr="005100A6" w:rsidTr="00AE1C8F">
        <w:trPr>
          <w:trHeight w:val="516"/>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t>7. Opravy malého rozsahu – firmy nemají zájem</w:t>
            </w:r>
          </w:p>
        </w:tc>
        <w:tc>
          <w:tcPr>
            <w:tcW w:w="3544" w:type="dxa"/>
            <w:vAlign w:val="center"/>
          </w:tcPr>
          <w:p w:rsidR="005100A6" w:rsidRPr="005100A6" w:rsidRDefault="005100A6" w:rsidP="00AE1C8F">
            <w:pPr>
              <w:rPr>
                <w:rFonts w:eastAsiaTheme="majorEastAsia"/>
                <w:sz w:val="24"/>
                <w:szCs w:val="24"/>
              </w:rPr>
            </w:pPr>
          </w:p>
        </w:tc>
        <w:tc>
          <w:tcPr>
            <w:tcW w:w="2227" w:type="dxa"/>
            <w:vAlign w:val="center"/>
          </w:tcPr>
          <w:p w:rsidR="005100A6" w:rsidRPr="005100A6" w:rsidRDefault="005100A6" w:rsidP="00AE1C8F">
            <w:pPr>
              <w:jc w:val="center"/>
              <w:rPr>
                <w:szCs w:val="24"/>
              </w:rPr>
            </w:pPr>
            <w:r w:rsidRPr="005100A6">
              <w:rPr>
                <w:szCs w:val="24"/>
              </w:rPr>
              <w:t>4</w:t>
            </w:r>
          </w:p>
        </w:tc>
      </w:tr>
      <w:tr w:rsidR="005100A6" w:rsidRPr="005100A6" w:rsidTr="00AE1C8F">
        <w:trPr>
          <w:trHeight w:val="760"/>
        </w:trPr>
        <w:tc>
          <w:tcPr>
            <w:tcW w:w="3652" w:type="dxa"/>
            <w:vAlign w:val="center"/>
          </w:tcPr>
          <w:p w:rsidR="005100A6" w:rsidRPr="005100A6" w:rsidRDefault="005100A6" w:rsidP="00AE1C8F">
            <w:pPr>
              <w:rPr>
                <w:rFonts w:eastAsiaTheme="majorEastAsia"/>
                <w:sz w:val="24"/>
                <w:szCs w:val="24"/>
              </w:rPr>
            </w:pPr>
            <w:r w:rsidRPr="005100A6">
              <w:rPr>
                <w:rFonts w:eastAsiaTheme="majorEastAsia"/>
                <w:sz w:val="24"/>
                <w:szCs w:val="24"/>
              </w:rPr>
              <w:lastRenderedPageBreak/>
              <w:t>5. Chybí doprovodná infrastruktura (propustky, můstky,…)</w:t>
            </w:r>
          </w:p>
        </w:tc>
        <w:tc>
          <w:tcPr>
            <w:tcW w:w="354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5. Koncepční řešení oprav a výstavby</w:t>
            </w:r>
          </w:p>
        </w:tc>
        <w:tc>
          <w:tcPr>
            <w:tcW w:w="2227" w:type="dxa"/>
            <w:vAlign w:val="center"/>
          </w:tcPr>
          <w:p w:rsidR="005100A6" w:rsidRPr="005100A6" w:rsidRDefault="005100A6" w:rsidP="00AE1C8F">
            <w:pPr>
              <w:jc w:val="center"/>
              <w:rPr>
                <w:szCs w:val="24"/>
              </w:rPr>
            </w:pPr>
            <w:r w:rsidRPr="005100A6">
              <w:rPr>
                <w:szCs w:val="24"/>
              </w:rPr>
              <w:t>5</w:t>
            </w:r>
          </w:p>
        </w:tc>
      </w:tr>
    </w:tbl>
    <w:p w:rsidR="005100A6" w:rsidRPr="005100A6" w:rsidRDefault="005100A6" w:rsidP="005100A6">
      <w:r w:rsidRPr="005100A6">
        <w:t>Zdroj: PS „Infrastruktura“, 25.5.2014</w:t>
      </w:r>
    </w:p>
    <w:p w:rsidR="005100A6" w:rsidRPr="005100A6" w:rsidRDefault="005100A6" w:rsidP="005100A6">
      <w:pPr>
        <w:pStyle w:val="Titulek"/>
        <w:rPr>
          <w:color w:val="auto"/>
          <w:sz w:val="24"/>
          <w:szCs w:val="24"/>
        </w:rPr>
      </w:pPr>
      <w:bookmarkStart w:id="8" w:name="_Toc445458936"/>
      <w:bookmarkStart w:id="9" w:name="_Toc446407680"/>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55</w:t>
      </w:r>
      <w:r w:rsidR="000A32E8" w:rsidRPr="005100A6">
        <w:rPr>
          <w:b/>
          <w:color w:val="auto"/>
          <w:sz w:val="24"/>
          <w:szCs w:val="24"/>
        </w:rPr>
        <w:fldChar w:fldCharType="end"/>
      </w:r>
      <w:r w:rsidRPr="005100A6">
        <w:rPr>
          <w:color w:val="auto"/>
          <w:sz w:val="24"/>
          <w:szCs w:val="24"/>
        </w:rPr>
        <w:t>: Identifikace příčin analyzovaného problému „pitná voda“a návrhy řešení</w:t>
      </w:r>
      <w:bookmarkEnd w:id="8"/>
      <w:bookmarkEnd w:id="9"/>
    </w:p>
    <w:tbl>
      <w:tblPr>
        <w:tblStyle w:val="Mkatabulky"/>
        <w:tblpPr w:leftFromText="142" w:rightFromText="142" w:vertAnchor="text" w:horzAnchor="margin" w:tblpY="1"/>
        <w:tblW w:w="0" w:type="auto"/>
        <w:tblLook w:val="04A0"/>
      </w:tblPr>
      <w:tblGrid>
        <w:gridCol w:w="3684"/>
        <w:gridCol w:w="3551"/>
        <w:gridCol w:w="2053"/>
      </w:tblGrid>
      <w:tr w:rsidR="005100A6" w:rsidRPr="005100A6" w:rsidTr="00AE1C8F">
        <w:trPr>
          <w:trHeight w:val="567"/>
        </w:trPr>
        <w:tc>
          <w:tcPr>
            <w:tcW w:w="9647" w:type="dxa"/>
            <w:gridSpan w:val="3"/>
            <w:shd w:val="clear" w:color="auto" w:fill="00FF00"/>
            <w:vAlign w:val="center"/>
          </w:tcPr>
          <w:p w:rsidR="005100A6" w:rsidRPr="005100A6" w:rsidRDefault="005100A6" w:rsidP="00AE1C8F">
            <w:pPr>
              <w:jc w:val="center"/>
              <w:rPr>
                <w:b/>
                <w:sz w:val="28"/>
                <w:szCs w:val="28"/>
                <w:highlight w:val="yellow"/>
              </w:rPr>
            </w:pPr>
            <w:r w:rsidRPr="005100A6">
              <w:rPr>
                <w:rFonts w:eastAsiaTheme="majorEastAsia"/>
                <w:b/>
                <w:sz w:val="28"/>
                <w:szCs w:val="28"/>
              </w:rPr>
              <w:t>Problém č. 3:„Pitná voda“</w:t>
            </w:r>
          </w:p>
        </w:tc>
      </w:tr>
      <w:tr w:rsidR="005100A6" w:rsidRPr="005100A6" w:rsidTr="00AE1C8F">
        <w:trPr>
          <w:trHeight w:val="497"/>
        </w:trPr>
        <w:tc>
          <w:tcPr>
            <w:tcW w:w="3824"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Příčiny problému identifikované PS</w:t>
            </w:r>
          </w:p>
        </w:tc>
        <w:tc>
          <w:tcPr>
            <w:tcW w:w="3711"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Možnosti řešení příčiny problému navržené PS</w:t>
            </w:r>
          </w:p>
        </w:tc>
        <w:tc>
          <w:tcPr>
            <w:tcW w:w="2112" w:type="dxa"/>
            <w:vAlign w:val="center"/>
          </w:tcPr>
          <w:p w:rsidR="005100A6" w:rsidRPr="005100A6" w:rsidRDefault="005100A6" w:rsidP="00AE1C8F">
            <w:pPr>
              <w:jc w:val="center"/>
              <w:rPr>
                <w:rFonts w:eastAsiaTheme="majorEastAsia"/>
                <w:b/>
                <w:sz w:val="24"/>
                <w:szCs w:val="24"/>
              </w:rPr>
            </w:pPr>
            <w:r w:rsidRPr="005100A6">
              <w:rPr>
                <w:rFonts w:eastAsiaTheme="majorEastAsia"/>
                <w:b/>
                <w:sz w:val="24"/>
                <w:szCs w:val="24"/>
              </w:rPr>
              <w:t>Pořadí důležitosti určené PS</w:t>
            </w:r>
          </w:p>
        </w:tc>
      </w:tr>
      <w:tr w:rsidR="005100A6" w:rsidRPr="005100A6" w:rsidTr="00AE1C8F">
        <w:trPr>
          <w:trHeight w:val="512"/>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 Špatná ekonomická návratnost vodovodu (vysoké provozní náklady)</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4.I v malých sídlech podporovat lokální vodovody</w:t>
            </w:r>
          </w:p>
        </w:tc>
        <w:tc>
          <w:tcPr>
            <w:tcW w:w="2112" w:type="dxa"/>
            <w:vAlign w:val="center"/>
          </w:tcPr>
          <w:p w:rsidR="005100A6" w:rsidRPr="005100A6" w:rsidRDefault="005100A6" w:rsidP="00AE1C8F">
            <w:pPr>
              <w:jc w:val="center"/>
              <w:rPr>
                <w:szCs w:val="24"/>
              </w:rPr>
            </w:pPr>
            <w:r w:rsidRPr="005100A6">
              <w:rPr>
                <w:szCs w:val="24"/>
              </w:rPr>
              <w:t>1</w:t>
            </w:r>
          </w:p>
        </w:tc>
      </w:tr>
      <w:tr w:rsidR="005100A6" w:rsidRPr="005100A6" w:rsidTr="00AE1C8F">
        <w:trPr>
          <w:trHeight w:val="256"/>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 Technické možnosti</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1. Nové technologie</w:t>
            </w:r>
          </w:p>
        </w:tc>
        <w:tc>
          <w:tcPr>
            <w:tcW w:w="2112" w:type="dxa"/>
            <w:vAlign w:val="center"/>
          </w:tcPr>
          <w:p w:rsidR="005100A6" w:rsidRPr="005100A6" w:rsidRDefault="005100A6" w:rsidP="00AE1C8F">
            <w:pPr>
              <w:jc w:val="center"/>
              <w:rPr>
                <w:szCs w:val="24"/>
              </w:rPr>
            </w:pPr>
            <w:r w:rsidRPr="005100A6">
              <w:rPr>
                <w:szCs w:val="24"/>
              </w:rPr>
              <w:t>2</w:t>
            </w:r>
          </w:p>
        </w:tc>
      </w:tr>
      <w:tr w:rsidR="005100A6" w:rsidRPr="005100A6" w:rsidTr="00AE1C8F">
        <w:trPr>
          <w:trHeight w:val="497"/>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6. Změna vyhlášky určující spotřebu vody</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6. Osazení vodoměrů u všech spotřebitelů</w:t>
            </w:r>
          </w:p>
        </w:tc>
        <w:tc>
          <w:tcPr>
            <w:tcW w:w="2112" w:type="dxa"/>
            <w:vAlign w:val="center"/>
          </w:tcPr>
          <w:p w:rsidR="005100A6" w:rsidRPr="005100A6" w:rsidRDefault="005100A6" w:rsidP="00AE1C8F">
            <w:pPr>
              <w:jc w:val="center"/>
              <w:rPr>
                <w:szCs w:val="24"/>
              </w:rPr>
            </w:pPr>
            <w:r w:rsidRPr="005100A6">
              <w:rPr>
                <w:szCs w:val="24"/>
              </w:rPr>
              <w:t>2</w:t>
            </w:r>
          </w:p>
        </w:tc>
      </w:tr>
      <w:tr w:rsidR="005100A6" w:rsidRPr="005100A6" w:rsidTr="00AE1C8F">
        <w:trPr>
          <w:trHeight w:val="256"/>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 Chybí hydrogeologické průzkumy</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2. Provést hp</w:t>
            </w:r>
          </w:p>
        </w:tc>
        <w:tc>
          <w:tcPr>
            <w:tcW w:w="2112" w:type="dxa"/>
            <w:vAlign w:val="center"/>
          </w:tcPr>
          <w:p w:rsidR="005100A6" w:rsidRPr="005100A6" w:rsidRDefault="005100A6" w:rsidP="00AE1C8F">
            <w:pPr>
              <w:jc w:val="center"/>
              <w:rPr>
                <w:szCs w:val="24"/>
              </w:rPr>
            </w:pPr>
            <w:r w:rsidRPr="005100A6">
              <w:rPr>
                <w:szCs w:val="24"/>
              </w:rPr>
              <w:t>3</w:t>
            </w:r>
          </w:p>
        </w:tc>
      </w:tr>
      <w:tr w:rsidR="005100A6" w:rsidRPr="005100A6" w:rsidTr="00AE1C8F">
        <w:trPr>
          <w:trHeight w:val="497"/>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5. Úbytek v živočišné výrobě (jako odběratelé)</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5. Podpora živočišné výroby – změna zemědělské politiky</w:t>
            </w:r>
          </w:p>
        </w:tc>
        <w:tc>
          <w:tcPr>
            <w:tcW w:w="2112" w:type="dxa"/>
            <w:vAlign w:val="center"/>
          </w:tcPr>
          <w:p w:rsidR="005100A6" w:rsidRPr="005100A6" w:rsidRDefault="005100A6" w:rsidP="00AE1C8F">
            <w:pPr>
              <w:jc w:val="center"/>
              <w:rPr>
                <w:szCs w:val="24"/>
              </w:rPr>
            </w:pPr>
            <w:r w:rsidRPr="005100A6">
              <w:rPr>
                <w:szCs w:val="24"/>
              </w:rPr>
              <w:t>3</w:t>
            </w:r>
          </w:p>
        </w:tc>
      </w:tr>
      <w:tr w:rsidR="005100A6" w:rsidRPr="005100A6" w:rsidTr="00AE1C8F">
        <w:trPr>
          <w:trHeight w:val="512"/>
        </w:trPr>
        <w:tc>
          <w:tcPr>
            <w:tcW w:w="3824"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Geologické podloží + ekologická zátěž – nekvalitní pitná voda</w:t>
            </w:r>
          </w:p>
        </w:tc>
        <w:tc>
          <w:tcPr>
            <w:tcW w:w="3711" w:type="dxa"/>
            <w:vAlign w:val="center"/>
          </w:tcPr>
          <w:p w:rsidR="005100A6" w:rsidRPr="005100A6" w:rsidRDefault="005100A6" w:rsidP="00AE1C8F">
            <w:pPr>
              <w:rPr>
                <w:rFonts w:eastAsiaTheme="majorEastAsia"/>
                <w:sz w:val="24"/>
                <w:szCs w:val="24"/>
              </w:rPr>
            </w:pPr>
            <w:r w:rsidRPr="005100A6">
              <w:rPr>
                <w:rFonts w:eastAsiaTheme="majorEastAsia"/>
                <w:sz w:val="24"/>
                <w:szCs w:val="24"/>
              </w:rPr>
              <w:t>3. Provést hp + nové (levnější) technologie</w:t>
            </w:r>
          </w:p>
        </w:tc>
        <w:tc>
          <w:tcPr>
            <w:tcW w:w="2112" w:type="dxa"/>
            <w:vAlign w:val="center"/>
          </w:tcPr>
          <w:p w:rsidR="005100A6" w:rsidRPr="005100A6" w:rsidRDefault="005100A6" w:rsidP="00AE1C8F">
            <w:pPr>
              <w:jc w:val="center"/>
              <w:rPr>
                <w:szCs w:val="24"/>
              </w:rPr>
            </w:pPr>
            <w:r w:rsidRPr="005100A6">
              <w:rPr>
                <w:szCs w:val="24"/>
              </w:rPr>
              <w:t>4</w:t>
            </w:r>
          </w:p>
        </w:tc>
      </w:tr>
    </w:tbl>
    <w:p w:rsidR="005100A6" w:rsidRPr="005100A6" w:rsidRDefault="005100A6" w:rsidP="005100A6">
      <w:r w:rsidRPr="005100A6">
        <w:t>Zdroj: PS „Infrastruktura“, 25.5.2014</w:t>
      </w:r>
    </w:p>
    <w:p w:rsidR="005100A6" w:rsidRPr="005100A6" w:rsidRDefault="005100A6" w:rsidP="005100A6"/>
    <w:p w:rsidR="005100A6" w:rsidRPr="005100A6" w:rsidRDefault="005100A6" w:rsidP="005100A6">
      <w:pPr>
        <w:pStyle w:val="Titulek"/>
        <w:rPr>
          <w:color w:val="auto"/>
          <w:sz w:val="24"/>
          <w:szCs w:val="24"/>
        </w:rPr>
      </w:pPr>
      <w:bookmarkStart w:id="10" w:name="_Toc445458937"/>
      <w:bookmarkStart w:id="11" w:name="_Toc446407681"/>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56</w:t>
      </w:r>
      <w:r w:rsidR="000A32E8" w:rsidRPr="005100A6">
        <w:rPr>
          <w:b/>
          <w:color w:val="auto"/>
          <w:sz w:val="24"/>
          <w:szCs w:val="24"/>
        </w:rPr>
        <w:fldChar w:fldCharType="end"/>
      </w:r>
      <w:r w:rsidRPr="005100A6">
        <w:rPr>
          <w:b/>
          <w:color w:val="auto"/>
          <w:sz w:val="24"/>
          <w:szCs w:val="24"/>
        </w:rPr>
        <w:t>:</w:t>
      </w:r>
      <w:r w:rsidRPr="005100A6">
        <w:rPr>
          <w:color w:val="auto"/>
          <w:sz w:val="24"/>
          <w:szCs w:val="24"/>
        </w:rPr>
        <w:t>Identifikace příčin analyzovaného problému „veřejná prostranství a údržba veřejné zeleně“a návrhy řešení</w:t>
      </w:r>
      <w:bookmarkEnd w:id="10"/>
      <w:bookmarkEnd w:id="11"/>
    </w:p>
    <w:tbl>
      <w:tblPr>
        <w:tblpPr w:leftFromText="142" w:rightFromText="142" w:vertAnchor="text" w:horzAnchor="margin" w:tblpY="115"/>
        <w:tblOverlap w:val="never"/>
        <w:tblW w:w="9561" w:type="dxa"/>
        <w:tblCellMar>
          <w:left w:w="70" w:type="dxa"/>
          <w:right w:w="70" w:type="dxa"/>
        </w:tblCellMar>
        <w:tblLook w:val="04A0"/>
      </w:tblPr>
      <w:tblGrid>
        <w:gridCol w:w="3756"/>
        <w:gridCol w:w="3827"/>
        <w:gridCol w:w="1978"/>
      </w:tblGrid>
      <w:tr w:rsidR="005100A6" w:rsidRPr="005100A6" w:rsidTr="00AE1C8F">
        <w:trPr>
          <w:trHeight w:val="567"/>
        </w:trPr>
        <w:tc>
          <w:tcPr>
            <w:tcW w:w="9561"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Problém č. 4:„Veřejná prostranství a údržba veřejné zeleně“</w:t>
            </w:r>
          </w:p>
        </w:tc>
      </w:tr>
      <w:tr w:rsidR="005100A6" w:rsidRPr="005100A6" w:rsidTr="00AE1C8F">
        <w:trPr>
          <w:trHeight w:val="30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Příčiny problému identifikované PS</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Možnosti řešení příčiny problému navržené PS</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Pořadí důležitosti určené PS</w:t>
            </w:r>
          </w:p>
        </w:tc>
      </w:tr>
      <w:tr w:rsidR="005100A6" w:rsidRPr="005100A6" w:rsidTr="00AE1C8F">
        <w:trPr>
          <w:trHeight w:val="624"/>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2. Neochota lidí podílet se na údržbě veřejných prostranství</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2. Osvěta, motivace, kurzy, zapojení školní mládeže, zapojení rodin</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1</w:t>
            </w:r>
          </w:p>
        </w:tc>
      </w:tr>
      <w:tr w:rsidR="005100A6" w:rsidRPr="005100A6" w:rsidTr="00AE1C8F">
        <w:trPr>
          <w:trHeight w:val="30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1. Vlastnické vztahy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1. Pozemkové úpravy - ÚP</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2</w:t>
            </w:r>
          </w:p>
        </w:tc>
      </w:tr>
      <w:tr w:rsidR="005100A6" w:rsidRPr="005100A6" w:rsidTr="00AE1C8F">
        <w:trPr>
          <w:trHeight w:val="65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4. Vandalismus, krádeže zeleně, neukáznění řidiči aut</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4. Monitorovací systém (úprava legislativy), výchova v rodině + škole</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3</w:t>
            </w:r>
          </w:p>
        </w:tc>
      </w:tr>
      <w:tr w:rsidR="005100A6" w:rsidRPr="005100A6" w:rsidTr="00AE1C8F">
        <w:trPr>
          <w:trHeight w:val="32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3. Nekoncepční řešení VP</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3. Spolupráce s odborníky</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4</w:t>
            </w:r>
          </w:p>
        </w:tc>
      </w:tr>
      <w:tr w:rsidR="005100A6" w:rsidRPr="005100A6" w:rsidTr="00AE1C8F">
        <w:trPr>
          <w:trHeight w:val="30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5. Problémy s památkáři (kapličky) + ochránci přírody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5. Spolupracovat</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4</w:t>
            </w:r>
          </w:p>
        </w:tc>
      </w:tr>
      <w:tr w:rsidR="005100A6" w:rsidRPr="005100A6" w:rsidTr="00AE1C8F">
        <w:trPr>
          <w:trHeight w:val="639"/>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7.Nízká finanční motivace zaměstnanců přes ÚP (veř. prosp. práce)</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1. Sehnat finanční prostředky navíc</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4</w:t>
            </w:r>
          </w:p>
        </w:tc>
      </w:tr>
      <w:tr w:rsidR="005100A6" w:rsidRPr="005100A6" w:rsidTr="00AE1C8F">
        <w:trPr>
          <w:trHeight w:val="32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6. Dětská hřiště - legislativa</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 </w:t>
            </w:r>
          </w:p>
        </w:tc>
        <w:tc>
          <w:tcPr>
            <w:tcW w:w="1978"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5</w:t>
            </w:r>
          </w:p>
        </w:tc>
      </w:tr>
    </w:tbl>
    <w:p w:rsidR="005100A6" w:rsidRPr="005100A6" w:rsidRDefault="005100A6" w:rsidP="005100A6">
      <w:pPr>
        <w:rPr>
          <w:szCs w:val="24"/>
        </w:rPr>
      </w:pPr>
      <w:r w:rsidRPr="005100A6">
        <w:rPr>
          <w:szCs w:val="24"/>
        </w:rPr>
        <w:lastRenderedPageBreak/>
        <w:t>Zdroj: PS „Infrastruktura“, 25. 5. 2014</w:t>
      </w:r>
    </w:p>
    <w:p w:rsidR="005100A6" w:rsidRPr="005100A6" w:rsidRDefault="005100A6" w:rsidP="005100A6">
      <w:pPr>
        <w:pStyle w:val="Titulek"/>
        <w:rPr>
          <w:color w:val="auto"/>
          <w:sz w:val="24"/>
          <w:szCs w:val="24"/>
        </w:rPr>
      </w:pPr>
      <w:bookmarkStart w:id="12" w:name="_Toc445458938"/>
      <w:bookmarkStart w:id="13" w:name="_Toc446407682"/>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57</w:t>
      </w:r>
      <w:r w:rsidR="000A32E8" w:rsidRPr="005100A6">
        <w:rPr>
          <w:b/>
          <w:color w:val="auto"/>
          <w:sz w:val="24"/>
          <w:szCs w:val="24"/>
        </w:rPr>
        <w:fldChar w:fldCharType="end"/>
      </w:r>
      <w:r w:rsidRPr="005100A6">
        <w:rPr>
          <w:b/>
          <w:color w:val="auto"/>
          <w:sz w:val="24"/>
          <w:szCs w:val="24"/>
        </w:rPr>
        <w:t>:</w:t>
      </w:r>
      <w:r w:rsidRPr="005100A6">
        <w:rPr>
          <w:color w:val="auto"/>
          <w:sz w:val="24"/>
          <w:szCs w:val="24"/>
        </w:rPr>
        <w:t>Identifikace příčin analyzovaného problému „oprava a údržba komunikací“a návrhy řešení</w:t>
      </w:r>
      <w:bookmarkEnd w:id="12"/>
      <w:bookmarkEnd w:id="13"/>
    </w:p>
    <w:tbl>
      <w:tblPr>
        <w:tblpPr w:leftFromText="142" w:rightFromText="142" w:vertAnchor="text" w:horzAnchor="margin" w:tblpY="32"/>
        <w:tblOverlap w:val="never"/>
        <w:tblW w:w="9596" w:type="dxa"/>
        <w:tblLayout w:type="fixed"/>
        <w:tblCellMar>
          <w:left w:w="70" w:type="dxa"/>
          <w:right w:w="70" w:type="dxa"/>
        </w:tblCellMar>
        <w:tblLook w:val="04A0"/>
      </w:tblPr>
      <w:tblGrid>
        <w:gridCol w:w="3756"/>
        <w:gridCol w:w="3827"/>
        <w:gridCol w:w="2013"/>
      </w:tblGrid>
      <w:tr w:rsidR="005100A6" w:rsidRPr="005100A6" w:rsidTr="00AE1C8F">
        <w:trPr>
          <w:trHeight w:val="567"/>
        </w:trPr>
        <w:tc>
          <w:tcPr>
            <w:tcW w:w="9596"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Problém č. 5. a 8:„Oprava a údržba komunikací“</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Příčiny problému identifikované PS</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Možnosti řešení příčiny problému navržené PS</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Pořadí důležitosti určené PS</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4. Doprovodná infrastruktura (mostky, příkopy,…)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4. Koncepční plánování oprav</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1</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5. Nevhodné technologie oprav (odbornost firem)</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5. Trvání na nastavení standardů</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1</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1. Dlouhodobá zanedbanost</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1.Zamezit zhoršování situace</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2</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2.Nedostatečné parametry - únosnost</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2. Nové technologie</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3</w:t>
            </w:r>
          </w:p>
        </w:tc>
      </w:tr>
      <w:tr w:rsidR="005100A6" w:rsidRPr="005100A6" w:rsidTr="00AE1C8F">
        <w:trPr>
          <w:trHeight w:val="6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6. Nevhodné čerpání finančních prostředků státního rozpočtu</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6. Změna parametrů čerpání prostředků ze státního rozpočtu</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3</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3. Rozsáhlost sítě</w:t>
            </w:r>
          </w:p>
          <w:p w:rsidR="005100A6" w:rsidRPr="005100A6" w:rsidRDefault="005100A6" w:rsidP="00AE1C8F">
            <w:pPr>
              <w:spacing w:line="240" w:lineRule="auto"/>
              <w:rPr>
                <w:rFonts w:eastAsiaTheme="majorEastAsia"/>
                <w:szCs w:val="24"/>
              </w:rPr>
            </w:pP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rFonts w:eastAsiaTheme="majorEastAsia"/>
                <w:szCs w:val="24"/>
              </w:rPr>
            </w:pPr>
            <w:r w:rsidRPr="005100A6">
              <w:rPr>
                <w:rFonts w:eastAsiaTheme="majorEastAsia"/>
                <w:szCs w:val="24"/>
              </w:rPr>
              <w:t>3.Zvážit finanční náročnost oprav dle využití</w:t>
            </w:r>
          </w:p>
        </w:tc>
        <w:tc>
          <w:tcPr>
            <w:tcW w:w="2013"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szCs w:val="24"/>
              </w:rPr>
            </w:pPr>
            <w:r w:rsidRPr="005100A6">
              <w:rPr>
                <w:szCs w:val="24"/>
              </w:rPr>
              <w:t>4</w:t>
            </w:r>
          </w:p>
        </w:tc>
      </w:tr>
    </w:tbl>
    <w:p w:rsidR="005100A6" w:rsidRPr="005100A6" w:rsidRDefault="005100A6" w:rsidP="005100A6">
      <w:r w:rsidRPr="005100A6">
        <w:t>Zdroj: PS „Infrastruktura“, 25.5.2014</w:t>
      </w:r>
    </w:p>
    <w:p w:rsidR="005100A6" w:rsidRPr="005100A6" w:rsidRDefault="005100A6" w:rsidP="005100A6">
      <w:pPr>
        <w:rPr>
          <w:b/>
          <w:szCs w:val="24"/>
        </w:rPr>
      </w:pPr>
    </w:p>
    <w:p w:rsidR="005100A6" w:rsidRPr="005100A6" w:rsidRDefault="005100A6" w:rsidP="005100A6">
      <w:pPr>
        <w:pStyle w:val="Titulek"/>
        <w:rPr>
          <w:color w:val="auto"/>
          <w:sz w:val="24"/>
          <w:szCs w:val="24"/>
        </w:rPr>
      </w:pPr>
      <w:bookmarkStart w:id="14" w:name="_Toc445458939"/>
      <w:bookmarkStart w:id="15" w:name="_Toc446407683"/>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58</w:t>
      </w:r>
      <w:r w:rsidR="000A32E8" w:rsidRPr="005100A6">
        <w:rPr>
          <w:b/>
          <w:color w:val="auto"/>
          <w:sz w:val="24"/>
          <w:szCs w:val="24"/>
        </w:rPr>
        <w:fldChar w:fldCharType="end"/>
      </w:r>
      <w:r w:rsidRPr="005100A6">
        <w:rPr>
          <w:color w:val="auto"/>
          <w:sz w:val="24"/>
          <w:szCs w:val="24"/>
        </w:rPr>
        <w:t>: Identifikace příčin analyzovaného problému „budovy a nemovitý majetek“a návrhy řešení</w:t>
      </w:r>
      <w:bookmarkEnd w:id="14"/>
      <w:bookmarkEnd w:id="15"/>
    </w:p>
    <w:tbl>
      <w:tblPr>
        <w:tblpPr w:leftFromText="142" w:rightFromText="142" w:vertAnchor="text" w:horzAnchor="margin" w:tblpY="1"/>
        <w:tblOverlap w:val="never"/>
        <w:tblW w:w="9654" w:type="dxa"/>
        <w:tblCellMar>
          <w:left w:w="70" w:type="dxa"/>
          <w:right w:w="70" w:type="dxa"/>
        </w:tblCellMar>
        <w:tblLook w:val="04A0"/>
      </w:tblPr>
      <w:tblGrid>
        <w:gridCol w:w="3756"/>
        <w:gridCol w:w="3827"/>
        <w:gridCol w:w="2071"/>
      </w:tblGrid>
      <w:tr w:rsidR="005100A6" w:rsidRPr="005100A6" w:rsidTr="00AE1C8F">
        <w:trPr>
          <w:trHeight w:val="567"/>
        </w:trPr>
        <w:tc>
          <w:tcPr>
            <w:tcW w:w="9654"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Problém č. 6:„Budovy a nemovitý majetek“</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Příčiny problému identifikované PS</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Možnosti řešení příčiny problému navržené PS</w:t>
            </w:r>
          </w:p>
        </w:tc>
        <w:tc>
          <w:tcPr>
            <w:tcW w:w="2071"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Pořadí důležitosti určené PS</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2.Technický stav – historická zanedbanost</w:t>
            </w:r>
          </w:p>
        </w:tc>
        <w:tc>
          <w:tcPr>
            <w:tcW w:w="3827" w:type="dxa"/>
            <w:tcBorders>
              <w:top w:val="nil"/>
              <w:left w:val="nil"/>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2.Předcházení zanedbanosti</w:t>
            </w:r>
          </w:p>
        </w:tc>
        <w:tc>
          <w:tcPr>
            <w:tcW w:w="2071" w:type="dxa"/>
            <w:tcBorders>
              <w:top w:val="nil"/>
              <w:left w:val="nil"/>
              <w:bottom w:val="single" w:sz="4" w:space="0" w:color="auto"/>
              <w:right w:val="single" w:sz="4" w:space="0" w:color="auto"/>
            </w:tcBorders>
            <w:shd w:val="clear" w:color="auto" w:fill="auto"/>
            <w:vAlign w:val="bottom"/>
            <w:hideMark/>
          </w:tcPr>
          <w:p w:rsidR="005100A6" w:rsidRPr="005100A6" w:rsidRDefault="005100A6" w:rsidP="00AE1C8F">
            <w:pPr>
              <w:jc w:val="center"/>
              <w:rPr>
                <w:bCs/>
                <w:color w:val="000000"/>
                <w:szCs w:val="24"/>
              </w:rPr>
            </w:pPr>
            <w:r w:rsidRPr="005100A6">
              <w:rPr>
                <w:bCs/>
                <w:color w:val="000000"/>
                <w:szCs w:val="24"/>
              </w:rPr>
              <w:t>1</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1.Nevhodné využití budov – z kanceláří byty</w:t>
            </w:r>
          </w:p>
        </w:tc>
        <w:tc>
          <w:tcPr>
            <w:tcW w:w="3827" w:type="dxa"/>
            <w:tcBorders>
              <w:top w:val="nil"/>
              <w:left w:val="nil"/>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1</w:t>
            </w:r>
            <w:r w:rsidRPr="005100A6">
              <w:rPr>
                <w:color w:val="000000"/>
                <w:sz w:val="14"/>
                <w:szCs w:val="14"/>
              </w:rPr>
              <w:t xml:space="preserve">. </w:t>
            </w:r>
            <w:r w:rsidRPr="005100A6">
              <w:rPr>
                <w:color w:val="000000"/>
                <w:szCs w:val="24"/>
              </w:rPr>
              <w:t>Hledání nových nápadů – VŠ, SŠ, VÚ</w:t>
            </w:r>
          </w:p>
        </w:tc>
        <w:tc>
          <w:tcPr>
            <w:tcW w:w="2071" w:type="dxa"/>
            <w:tcBorders>
              <w:top w:val="nil"/>
              <w:left w:val="nil"/>
              <w:bottom w:val="single" w:sz="4" w:space="0" w:color="auto"/>
              <w:right w:val="single" w:sz="4" w:space="0" w:color="auto"/>
            </w:tcBorders>
            <w:shd w:val="clear" w:color="auto" w:fill="auto"/>
            <w:vAlign w:val="bottom"/>
            <w:hideMark/>
          </w:tcPr>
          <w:p w:rsidR="005100A6" w:rsidRPr="005100A6" w:rsidRDefault="005100A6" w:rsidP="00AE1C8F">
            <w:pPr>
              <w:jc w:val="center"/>
              <w:rPr>
                <w:bCs/>
                <w:color w:val="000000"/>
                <w:szCs w:val="24"/>
              </w:rPr>
            </w:pPr>
            <w:r w:rsidRPr="005100A6">
              <w:rPr>
                <w:bCs/>
                <w:color w:val="000000"/>
                <w:szCs w:val="24"/>
              </w:rPr>
              <w:t>2</w:t>
            </w:r>
          </w:p>
        </w:tc>
      </w:tr>
      <w:tr w:rsidR="005100A6" w:rsidRPr="005100A6" w:rsidTr="00AE1C8F">
        <w:trPr>
          <w:trHeight w:val="615"/>
        </w:trPr>
        <w:tc>
          <w:tcPr>
            <w:tcW w:w="3756" w:type="dxa"/>
            <w:tcBorders>
              <w:top w:val="nil"/>
              <w:left w:val="single" w:sz="4" w:space="0" w:color="auto"/>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3. Předimenzovanost nemovitého majetku (budovy navíc – úbytek obyvatel)</w:t>
            </w:r>
          </w:p>
        </w:tc>
        <w:tc>
          <w:tcPr>
            <w:tcW w:w="3827" w:type="dxa"/>
            <w:tcBorders>
              <w:top w:val="nil"/>
              <w:left w:val="nil"/>
              <w:bottom w:val="single" w:sz="4" w:space="0" w:color="auto"/>
              <w:right w:val="single" w:sz="4" w:space="0" w:color="auto"/>
            </w:tcBorders>
            <w:shd w:val="clear" w:color="auto" w:fill="auto"/>
            <w:hideMark/>
          </w:tcPr>
          <w:p w:rsidR="005100A6" w:rsidRPr="005100A6" w:rsidRDefault="005100A6" w:rsidP="00AE1C8F">
            <w:pPr>
              <w:spacing w:line="240" w:lineRule="auto"/>
              <w:rPr>
                <w:color w:val="000000"/>
                <w:szCs w:val="24"/>
              </w:rPr>
            </w:pPr>
            <w:r w:rsidRPr="005100A6">
              <w:rPr>
                <w:color w:val="000000"/>
                <w:szCs w:val="24"/>
              </w:rPr>
              <w:t>3.alometrážní byty – navýšení počtu obyvatel</w:t>
            </w:r>
          </w:p>
        </w:tc>
        <w:tc>
          <w:tcPr>
            <w:tcW w:w="2071" w:type="dxa"/>
            <w:tcBorders>
              <w:top w:val="nil"/>
              <w:left w:val="nil"/>
              <w:bottom w:val="single" w:sz="4" w:space="0" w:color="auto"/>
              <w:right w:val="single" w:sz="4" w:space="0" w:color="auto"/>
            </w:tcBorders>
            <w:shd w:val="clear" w:color="auto" w:fill="auto"/>
            <w:vAlign w:val="bottom"/>
            <w:hideMark/>
          </w:tcPr>
          <w:p w:rsidR="005100A6" w:rsidRPr="005100A6" w:rsidRDefault="005100A6" w:rsidP="00AE1C8F">
            <w:pPr>
              <w:jc w:val="center"/>
              <w:rPr>
                <w:bCs/>
                <w:color w:val="000000"/>
                <w:szCs w:val="24"/>
              </w:rPr>
            </w:pPr>
            <w:r w:rsidRPr="005100A6">
              <w:rPr>
                <w:bCs/>
                <w:color w:val="000000"/>
                <w:szCs w:val="24"/>
              </w:rPr>
              <w:t>2</w:t>
            </w:r>
          </w:p>
        </w:tc>
      </w:tr>
    </w:tbl>
    <w:p w:rsidR="005100A6" w:rsidRPr="005100A6" w:rsidRDefault="005100A6" w:rsidP="005100A6">
      <w:r w:rsidRPr="005100A6">
        <w:t>Zdroj: PS „Infrastruktura“, 25.5.2014</w:t>
      </w:r>
    </w:p>
    <w:p w:rsidR="005100A6" w:rsidRPr="005100A6" w:rsidRDefault="005100A6" w:rsidP="005100A6">
      <w:pPr>
        <w:rPr>
          <w:b/>
          <w:szCs w:val="24"/>
        </w:rPr>
      </w:pPr>
      <w:r w:rsidRPr="005100A6">
        <w:rPr>
          <w:b/>
          <w:szCs w:val="24"/>
        </w:rPr>
        <w:br w:type="page"/>
      </w:r>
    </w:p>
    <w:p w:rsidR="005100A6" w:rsidRPr="005100A6" w:rsidRDefault="005100A6" w:rsidP="005100A6">
      <w:pPr>
        <w:pStyle w:val="Titulek"/>
        <w:rPr>
          <w:color w:val="auto"/>
          <w:sz w:val="24"/>
          <w:szCs w:val="24"/>
        </w:rPr>
      </w:pPr>
      <w:bookmarkStart w:id="16" w:name="_Toc445458940"/>
      <w:bookmarkStart w:id="17" w:name="_Toc446407684"/>
      <w:r w:rsidRPr="005100A6">
        <w:rPr>
          <w:b/>
          <w:color w:val="auto"/>
          <w:sz w:val="24"/>
          <w:szCs w:val="24"/>
        </w:rPr>
        <w:lastRenderedPageBreak/>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59</w:t>
      </w:r>
      <w:r w:rsidR="000A32E8" w:rsidRPr="005100A6">
        <w:rPr>
          <w:b/>
          <w:color w:val="auto"/>
          <w:sz w:val="24"/>
          <w:szCs w:val="24"/>
        </w:rPr>
        <w:fldChar w:fldCharType="end"/>
      </w:r>
      <w:r w:rsidRPr="005100A6">
        <w:rPr>
          <w:b/>
          <w:color w:val="auto"/>
          <w:sz w:val="24"/>
          <w:szCs w:val="24"/>
        </w:rPr>
        <w:t>:</w:t>
      </w:r>
      <w:r w:rsidRPr="005100A6">
        <w:rPr>
          <w:color w:val="auto"/>
          <w:sz w:val="24"/>
          <w:szCs w:val="24"/>
        </w:rPr>
        <w:t>Identifikace příčin analyzovaného problému „rybníky“a návrhy řešení</w:t>
      </w:r>
      <w:bookmarkEnd w:id="16"/>
      <w:bookmarkEnd w:id="17"/>
    </w:p>
    <w:tbl>
      <w:tblPr>
        <w:tblpPr w:leftFromText="142" w:rightFromText="142" w:vertAnchor="text" w:horzAnchor="margin" w:tblpY="51"/>
        <w:tblOverlap w:val="never"/>
        <w:tblW w:w="9709" w:type="dxa"/>
        <w:tblCellMar>
          <w:left w:w="70" w:type="dxa"/>
          <w:right w:w="70" w:type="dxa"/>
        </w:tblCellMar>
        <w:tblLook w:val="04A0"/>
      </w:tblPr>
      <w:tblGrid>
        <w:gridCol w:w="3756"/>
        <w:gridCol w:w="3827"/>
        <w:gridCol w:w="2126"/>
      </w:tblGrid>
      <w:tr w:rsidR="005100A6" w:rsidRPr="005100A6" w:rsidTr="00AE1C8F">
        <w:trPr>
          <w:trHeight w:val="567"/>
        </w:trPr>
        <w:tc>
          <w:tcPr>
            <w:tcW w:w="9709" w:type="dxa"/>
            <w:gridSpan w:val="3"/>
            <w:tcBorders>
              <w:top w:val="single" w:sz="4" w:space="0" w:color="auto"/>
              <w:left w:val="single" w:sz="4" w:space="0" w:color="auto"/>
              <w:bottom w:val="single" w:sz="4" w:space="0" w:color="auto"/>
              <w:right w:val="single" w:sz="4" w:space="0" w:color="auto"/>
            </w:tcBorders>
            <w:shd w:val="clear" w:color="auto" w:fill="00FF00"/>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Problém č. 7:„Rybníky“</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Příčiny problému identifikované PS</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Možnosti řešení příčiny problému navržené PS</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rFonts w:eastAsiaTheme="majorEastAsia"/>
                <w:b/>
                <w:szCs w:val="24"/>
              </w:rPr>
            </w:pPr>
            <w:r w:rsidRPr="005100A6">
              <w:rPr>
                <w:rFonts w:eastAsiaTheme="majorEastAsia"/>
                <w:b/>
                <w:szCs w:val="24"/>
              </w:rPr>
              <w:t>Pořadí důležitosti určené PS</w:t>
            </w:r>
          </w:p>
        </w:tc>
      </w:tr>
      <w:tr w:rsidR="005100A6" w:rsidRPr="005100A6" w:rsidTr="00AE1C8F">
        <w:trPr>
          <w:trHeight w:val="94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2.Eroze půdy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2.Zajištění správných osevních postupů, budování protierozních zábran, zajištění správného lesního hospodářství</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1</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8.Uložení bahna při odbahnění</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8.Zmírnění legislativních požadavků</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2</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1.Přeceňování využití rybníků pro rybářské účely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1.Kategorizace rybníků jako rekreační</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3</w:t>
            </w:r>
          </w:p>
        </w:tc>
      </w:tr>
      <w:tr w:rsidR="005100A6" w:rsidRPr="005100A6" w:rsidTr="00AE1C8F">
        <w:trPr>
          <w:trHeight w:val="96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3.Špatný osevní postup</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3.Zajištění správných osevních postupů, budování protierozních zábran, zajištění správného lesního hospodářství</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3</w:t>
            </w:r>
          </w:p>
        </w:tc>
      </w:tr>
      <w:tr w:rsidR="005100A6" w:rsidRPr="005100A6" w:rsidTr="00AE1C8F">
        <w:trPr>
          <w:trHeight w:val="61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7.Nevhodné hospodaření na rybníku (vývoz hnoje, krmení, použití chem. látek,.,..)</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7.Kategorizace</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3</w:t>
            </w:r>
          </w:p>
        </w:tc>
      </w:tr>
      <w:tr w:rsidR="005100A6" w:rsidRPr="005100A6" w:rsidTr="00AE1C8F">
        <w:trPr>
          <w:trHeight w:val="300"/>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4.Nelegalizované vodní stavby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4.Legalizace vodních staveb</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4</w:t>
            </w:r>
          </w:p>
        </w:tc>
      </w:tr>
      <w:tr w:rsidR="005100A6" w:rsidRPr="005100A6" w:rsidTr="00AE1C8F">
        <w:trPr>
          <w:trHeight w:val="315"/>
        </w:trPr>
        <w:tc>
          <w:tcPr>
            <w:tcW w:w="3756" w:type="dxa"/>
            <w:tcBorders>
              <w:top w:val="nil"/>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5.Vlastnické vztahy</w:t>
            </w:r>
          </w:p>
        </w:tc>
        <w:tc>
          <w:tcPr>
            <w:tcW w:w="3827"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5.Zajištění vymahatelnosti povinností vlast.</w:t>
            </w:r>
          </w:p>
        </w:tc>
        <w:tc>
          <w:tcPr>
            <w:tcW w:w="2126" w:type="dxa"/>
            <w:tcBorders>
              <w:top w:val="nil"/>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5</w:t>
            </w:r>
          </w:p>
        </w:tc>
      </w:tr>
      <w:tr w:rsidR="005100A6" w:rsidRPr="005100A6" w:rsidTr="00AE1C8F">
        <w:trPr>
          <w:trHeight w:val="300"/>
        </w:trPr>
        <w:tc>
          <w:tcPr>
            <w:tcW w:w="3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6.Neúdržba břehových porostů v povodí</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rPr>
                <w:color w:val="000000"/>
                <w:szCs w:val="24"/>
              </w:rPr>
            </w:pPr>
            <w:r w:rsidRPr="005100A6">
              <w:rPr>
                <w:color w:val="000000"/>
                <w:szCs w:val="24"/>
              </w:rPr>
              <w:t>6.Údržba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00A6" w:rsidRPr="005100A6" w:rsidRDefault="005100A6" w:rsidP="00AE1C8F">
            <w:pPr>
              <w:spacing w:line="240" w:lineRule="auto"/>
              <w:jc w:val="center"/>
              <w:rPr>
                <w:bCs/>
                <w:color w:val="000000"/>
                <w:szCs w:val="24"/>
              </w:rPr>
            </w:pPr>
            <w:r w:rsidRPr="005100A6">
              <w:rPr>
                <w:bCs/>
                <w:color w:val="000000"/>
                <w:szCs w:val="24"/>
              </w:rPr>
              <w:t>5</w:t>
            </w:r>
          </w:p>
        </w:tc>
      </w:tr>
    </w:tbl>
    <w:p w:rsidR="005100A6" w:rsidRPr="005100A6" w:rsidRDefault="005100A6" w:rsidP="005100A6">
      <w:r w:rsidRPr="005100A6">
        <w:t>Zdroj: PS „Infrastruktura“, 25.5.2014</w:t>
      </w:r>
    </w:p>
    <w:p w:rsidR="005100A6" w:rsidRPr="005100A6" w:rsidRDefault="005100A6" w:rsidP="005100A6">
      <w:pPr>
        <w:rPr>
          <w:b/>
          <w:szCs w:val="24"/>
        </w:rPr>
      </w:pPr>
    </w:p>
    <w:p w:rsidR="005100A6" w:rsidRPr="005100A6" w:rsidRDefault="005100A6" w:rsidP="005100A6">
      <w:pPr>
        <w:rPr>
          <w:b/>
          <w:szCs w:val="24"/>
        </w:rPr>
      </w:pPr>
      <w:r w:rsidRPr="005100A6">
        <w:rPr>
          <w:b/>
          <w:szCs w:val="24"/>
        </w:rPr>
        <w:t>Výstupy z 1. pracovní schůzky PS „Infrastruktura“ byly využity pro dopracovánísituačníanalýzy pro problémový okruh „INFRASTRUKTURA“.</w:t>
      </w:r>
    </w:p>
    <w:p w:rsidR="005100A6" w:rsidRPr="005100A6" w:rsidRDefault="005100A6" w:rsidP="005100A6">
      <w:pPr>
        <w:rPr>
          <w:b/>
          <w:szCs w:val="24"/>
        </w:rPr>
      </w:pPr>
    </w:p>
    <w:p w:rsidR="005100A6" w:rsidRPr="005100A6" w:rsidRDefault="005100A6" w:rsidP="005100A6">
      <w:pPr>
        <w:rPr>
          <w:b/>
        </w:rPr>
      </w:pPr>
      <w:r w:rsidRPr="005100A6">
        <w:rPr>
          <w:b/>
        </w:rPr>
        <w:t>2. Schůzka PS „Infrastruktura“</w:t>
      </w:r>
    </w:p>
    <w:p w:rsidR="005100A6" w:rsidRPr="005100A6" w:rsidRDefault="005100A6" w:rsidP="005100A6">
      <w:r w:rsidRPr="005100A6">
        <w:t>K druhé pracovní schůzce se členové PS „Infrastruktura“ sešli 16. června 2014 v prostorách obecní klubovny v Hartvíkově. Jako odborný garant byl přizván Ing. David Mišík, ředitel Pozemkového úřadu, Tábor. Facilitátorem této schůzky byl Ing. Petr Hienl.</w:t>
      </w:r>
    </w:p>
    <w:p w:rsidR="005100A6" w:rsidRPr="005100A6" w:rsidRDefault="005100A6" w:rsidP="005100A6"/>
    <w:p w:rsidR="005100A6" w:rsidRPr="005100A6" w:rsidRDefault="005100A6" w:rsidP="005100A6">
      <w:r w:rsidRPr="005100A6">
        <w:t xml:space="preserve">Pracovní skupina vyšla ze závěrů 1. Schůzky PS, na které navázala vyhledáváním vhodných návrhů na řešení identifikovaných příčin problémů. Striktněbylo vyloučeno, jako možný způsob </w:t>
      </w:r>
    </w:p>
    <w:p w:rsidR="005100A6" w:rsidRPr="005100A6" w:rsidRDefault="005100A6" w:rsidP="005100A6">
      <w:pPr>
        <w:rPr>
          <w:szCs w:val="24"/>
        </w:rPr>
      </w:pPr>
      <w:r w:rsidRPr="005100A6">
        <w:rPr>
          <w:szCs w:val="24"/>
        </w:rPr>
        <w:lastRenderedPageBreak/>
        <w:t xml:space="preserve">příčin problému, „financování“ jako takové, protože se jedná o prostředek, nikoliv o cíl, kterého má být dosaženo. Pro hledání nejlepších možných způsobů řešení identifikovaných problémů bylo pod vedením facilitátora využito „brainstormingových metod“. </w:t>
      </w:r>
    </w:p>
    <w:p w:rsidR="005100A6" w:rsidRPr="005100A6" w:rsidRDefault="005100A6" w:rsidP="005100A6">
      <w:pPr>
        <w:rPr>
          <w:szCs w:val="24"/>
        </w:rPr>
      </w:pPr>
    </w:p>
    <w:p w:rsidR="005100A6" w:rsidRPr="005100A6" w:rsidRDefault="005100A6" w:rsidP="005100A6">
      <w:r w:rsidRPr="005100A6">
        <w:rPr>
          <w:szCs w:val="24"/>
        </w:rPr>
        <w:t xml:space="preserve">V níže uvedených tabulkách jsou uvedeny návrhy řešení dříve identifikovaných problémů z okruhu „infrastruktura“, které se pro PS „Infrastruktura“ staly výchozí platformou při formulaci strategických cílů, Aktivita a aktivit pro řešení tohoto okruhu problémů, viz </w:t>
      </w:r>
      <w:r w:rsidRPr="005100A6">
        <w:t>Přílohy k analytické části, Výstupy z PS1 Infrastruktura</w:t>
      </w:r>
    </w:p>
    <w:p w:rsidR="005100A6" w:rsidRPr="005100A6" w:rsidRDefault="005100A6" w:rsidP="005100A6">
      <w:pPr>
        <w:rPr>
          <w:szCs w:val="24"/>
        </w:rPr>
      </w:pPr>
    </w:p>
    <w:p w:rsidR="005100A6" w:rsidRPr="005100A6" w:rsidRDefault="005100A6" w:rsidP="005100A6">
      <w:pPr>
        <w:pStyle w:val="Titulek"/>
        <w:rPr>
          <w:color w:val="auto"/>
          <w:sz w:val="24"/>
          <w:szCs w:val="24"/>
        </w:rPr>
      </w:pPr>
      <w:bookmarkStart w:id="18" w:name="_Toc445458941"/>
      <w:bookmarkStart w:id="19" w:name="_Toc446407685"/>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60</w:t>
      </w:r>
      <w:r w:rsidR="000A32E8" w:rsidRPr="005100A6">
        <w:rPr>
          <w:b/>
          <w:color w:val="auto"/>
          <w:sz w:val="24"/>
          <w:szCs w:val="24"/>
        </w:rPr>
        <w:fldChar w:fldCharType="end"/>
      </w:r>
      <w:r w:rsidRPr="005100A6">
        <w:rPr>
          <w:b/>
          <w:color w:val="auto"/>
          <w:sz w:val="24"/>
          <w:szCs w:val="24"/>
        </w:rPr>
        <w:t>:</w:t>
      </w:r>
      <w:r w:rsidRPr="005100A6">
        <w:rPr>
          <w:color w:val="auto"/>
          <w:sz w:val="24"/>
          <w:szCs w:val="24"/>
        </w:rPr>
        <w:t>Návrhy řešení identifikovaných příčin analyzovaného problému „odpadní vody“</w:t>
      </w:r>
      <w:bookmarkEnd w:id="18"/>
      <w:bookmarkEnd w:id="19"/>
    </w:p>
    <w:tbl>
      <w:tblPr>
        <w:tblW w:w="9151" w:type="dxa"/>
        <w:tblCellMar>
          <w:left w:w="70" w:type="dxa"/>
          <w:right w:w="70" w:type="dxa"/>
        </w:tblCellMar>
        <w:tblLook w:val="04A0"/>
      </w:tblPr>
      <w:tblGrid>
        <w:gridCol w:w="9151"/>
      </w:tblGrid>
      <w:tr w:rsidR="005100A6" w:rsidRPr="005100A6" w:rsidTr="00AE1C8F">
        <w:trPr>
          <w:trHeight w:val="567"/>
        </w:trPr>
        <w:tc>
          <w:tcPr>
            <w:tcW w:w="9151"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č.1 „Odpadní vody“</w:t>
            </w:r>
          </w:p>
        </w:tc>
      </w:tr>
      <w:tr w:rsidR="005100A6" w:rsidRPr="005100A6" w:rsidTr="00AE1C8F">
        <w:trPr>
          <w:trHeight w:val="637"/>
        </w:trPr>
        <w:tc>
          <w:tcPr>
            <w:tcW w:w="9151" w:type="dxa"/>
            <w:tcBorders>
              <w:top w:val="nil"/>
              <w:left w:val="single" w:sz="4" w:space="0" w:color="auto"/>
              <w:bottom w:val="single" w:sz="4" w:space="0" w:color="auto"/>
              <w:right w:val="single" w:sz="4" w:space="0" w:color="auto"/>
            </w:tcBorders>
            <w:shd w:val="clear" w:color="auto" w:fill="auto"/>
            <w:vAlign w:val="bottom"/>
            <w:hideMark/>
          </w:tcPr>
          <w:p w:rsidR="005100A6" w:rsidRPr="005100A6" w:rsidRDefault="005100A6" w:rsidP="00AE1C8F">
            <w:pPr>
              <w:pStyle w:val="Default"/>
              <w:autoSpaceDE/>
              <w:autoSpaceDN/>
              <w:adjustRightInd/>
              <w:rPr>
                <w:rFonts w:ascii="Times New Roman" w:eastAsia="Times New Roman" w:hAnsi="Times New Roman" w:cs="Times New Roman"/>
                <w:lang w:eastAsia="cs-CZ"/>
              </w:rPr>
            </w:pPr>
            <w:r w:rsidRPr="005100A6">
              <w:rPr>
                <w:rFonts w:ascii="Times New Roman" w:eastAsia="Times New Roman" w:hAnsi="Times New Roman" w:cs="Times New Roman"/>
                <w:lang w:eastAsia="cs-CZ"/>
              </w:rPr>
              <w:t>1. Pozemkové úpravy - plán společného zařízení (přístupové komunikace, parcely ve vlastnictví obce)</w:t>
            </w:r>
          </w:p>
        </w:tc>
      </w:tr>
      <w:tr w:rsidR="005100A6" w:rsidRPr="005100A6" w:rsidTr="00AE1C8F">
        <w:trPr>
          <w:trHeight w:val="380"/>
        </w:trPr>
        <w:tc>
          <w:tcPr>
            <w:tcW w:w="9151" w:type="dxa"/>
            <w:tcBorders>
              <w:top w:val="nil"/>
              <w:left w:val="single" w:sz="4" w:space="0" w:color="auto"/>
              <w:bottom w:val="single" w:sz="4" w:space="0" w:color="auto"/>
              <w:right w:val="single" w:sz="4" w:space="0" w:color="auto"/>
            </w:tcBorders>
            <w:shd w:val="clear" w:color="auto" w:fill="auto"/>
            <w:vAlign w:val="bottom"/>
            <w:hideMark/>
          </w:tcPr>
          <w:p w:rsidR="005100A6" w:rsidRPr="005100A6" w:rsidRDefault="005100A6" w:rsidP="00AE1C8F">
            <w:pPr>
              <w:spacing w:line="240" w:lineRule="auto"/>
              <w:rPr>
                <w:color w:val="000000"/>
                <w:szCs w:val="24"/>
              </w:rPr>
            </w:pPr>
            <w:r w:rsidRPr="005100A6">
              <w:rPr>
                <w:color w:val="000000"/>
                <w:szCs w:val="24"/>
              </w:rPr>
              <w:t>2. Projektová dokumentace pro výstavbu ČOV a kanalizačních systémů (+platné stavební povolení)</w:t>
            </w:r>
          </w:p>
        </w:tc>
      </w:tr>
      <w:tr w:rsidR="005100A6" w:rsidRPr="005100A6" w:rsidTr="00AE1C8F">
        <w:trPr>
          <w:trHeight w:val="311"/>
        </w:trPr>
        <w:tc>
          <w:tcPr>
            <w:tcW w:w="9151"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szCs w:val="24"/>
              </w:rPr>
            </w:pPr>
            <w:r w:rsidRPr="005100A6">
              <w:rPr>
                <w:color w:val="000000"/>
                <w:szCs w:val="24"/>
              </w:rPr>
              <w:t>3. Projektové žádosti do OP</w:t>
            </w:r>
          </w:p>
        </w:tc>
      </w:tr>
      <w:tr w:rsidR="005100A6" w:rsidRPr="005100A6" w:rsidTr="00AE1C8F">
        <w:trPr>
          <w:trHeight w:val="311"/>
        </w:trPr>
        <w:tc>
          <w:tcPr>
            <w:tcW w:w="9151"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szCs w:val="24"/>
              </w:rPr>
            </w:pPr>
            <w:r w:rsidRPr="005100A6">
              <w:rPr>
                <w:color w:val="000000"/>
                <w:szCs w:val="24"/>
              </w:rPr>
              <w:t>4. Výstavba ČOV</w:t>
            </w:r>
          </w:p>
        </w:tc>
      </w:tr>
      <w:tr w:rsidR="005100A6" w:rsidRPr="005100A6" w:rsidTr="00AE1C8F">
        <w:trPr>
          <w:trHeight w:val="311"/>
        </w:trPr>
        <w:tc>
          <w:tcPr>
            <w:tcW w:w="9151"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szCs w:val="24"/>
              </w:rPr>
            </w:pPr>
            <w:r w:rsidRPr="005100A6">
              <w:rPr>
                <w:color w:val="000000"/>
                <w:szCs w:val="24"/>
              </w:rPr>
              <w:t>5. Technické parametry čištění odpadních vod (fosfáty, léčiva atd.)</w:t>
            </w:r>
          </w:p>
        </w:tc>
      </w:tr>
      <w:tr w:rsidR="005100A6" w:rsidRPr="005100A6" w:rsidTr="00AE1C8F">
        <w:trPr>
          <w:trHeight w:val="311"/>
        </w:trPr>
        <w:tc>
          <w:tcPr>
            <w:tcW w:w="9151"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szCs w:val="24"/>
              </w:rPr>
            </w:pPr>
            <w:r w:rsidRPr="005100A6">
              <w:rPr>
                <w:color w:val="000000"/>
                <w:szCs w:val="24"/>
              </w:rPr>
              <w:t>6. Domovní ČOV</w:t>
            </w:r>
          </w:p>
        </w:tc>
      </w:tr>
      <w:tr w:rsidR="005100A6" w:rsidRPr="005100A6" w:rsidTr="00AE1C8F">
        <w:trPr>
          <w:trHeight w:val="311"/>
        </w:trPr>
        <w:tc>
          <w:tcPr>
            <w:tcW w:w="9151"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szCs w:val="24"/>
              </w:rPr>
            </w:pPr>
            <w:r w:rsidRPr="005100A6">
              <w:rPr>
                <w:color w:val="000000"/>
                <w:szCs w:val="24"/>
              </w:rPr>
              <w:t>7. Osvěta, environmentální výchova</w:t>
            </w:r>
          </w:p>
        </w:tc>
      </w:tr>
    </w:tbl>
    <w:p w:rsidR="005100A6" w:rsidRPr="005100A6" w:rsidRDefault="005100A6" w:rsidP="005100A6">
      <w:pPr>
        <w:rPr>
          <w:szCs w:val="24"/>
        </w:rPr>
      </w:pPr>
      <w:r w:rsidRPr="005100A6">
        <w:rPr>
          <w:szCs w:val="24"/>
        </w:rPr>
        <w:t>Zdroj: PS „Infrastruktura“, 16.6. 2014</w:t>
      </w:r>
    </w:p>
    <w:p w:rsidR="005100A6" w:rsidRPr="005100A6" w:rsidRDefault="005100A6" w:rsidP="005100A6">
      <w:pPr>
        <w:pStyle w:val="Titulek"/>
        <w:rPr>
          <w:i w:val="0"/>
          <w:iCs w:val="0"/>
          <w:color w:val="auto"/>
          <w:sz w:val="24"/>
          <w:szCs w:val="24"/>
        </w:rPr>
      </w:pPr>
      <w:bookmarkStart w:id="20" w:name="_Toc445458942"/>
    </w:p>
    <w:p w:rsidR="005100A6" w:rsidRPr="005100A6" w:rsidRDefault="005100A6" w:rsidP="005100A6">
      <w:pPr>
        <w:pStyle w:val="Titulek"/>
        <w:rPr>
          <w:color w:val="auto"/>
          <w:sz w:val="24"/>
          <w:szCs w:val="24"/>
        </w:rPr>
      </w:pPr>
      <w:bookmarkStart w:id="21" w:name="_Toc446407686"/>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61</w:t>
      </w:r>
      <w:r w:rsidR="000A32E8" w:rsidRPr="005100A6">
        <w:rPr>
          <w:b/>
          <w:color w:val="auto"/>
          <w:sz w:val="24"/>
          <w:szCs w:val="24"/>
        </w:rPr>
        <w:fldChar w:fldCharType="end"/>
      </w:r>
      <w:r w:rsidRPr="005100A6">
        <w:rPr>
          <w:color w:val="auto"/>
          <w:sz w:val="24"/>
          <w:szCs w:val="24"/>
        </w:rPr>
        <w:t>: Návrhy řešení identifikovaných příčin analyzovaného problému „místní komunikace“</w:t>
      </w:r>
      <w:bookmarkEnd w:id="20"/>
      <w:bookmarkEnd w:id="21"/>
    </w:p>
    <w:tbl>
      <w:tblPr>
        <w:tblW w:w="9142" w:type="dxa"/>
        <w:tblCellMar>
          <w:left w:w="70" w:type="dxa"/>
          <w:right w:w="70" w:type="dxa"/>
        </w:tblCellMar>
        <w:tblLook w:val="04A0"/>
      </w:tblPr>
      <w:tblGrid>
        <w:gridCol w:w="9142"/>
      </w:tblGrid>
      <w:tr w:rsidR="005100A6" w:rsidRPr="005100A6" w:rsidTr="00AE1C8F">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 2 „Místní komunikace“</w:t>
            </w:r>
          </w:p>
        </w:tc>
      </w:tr>
      <w:tr w:rsidR="005100A6" w:rsidRPr="005100A6" w:rsidTr="00AE1C8F">
        <w:trPr>
          <w:trHeight w:val="314"/>
        </w:trPr>
        <w:tc>
          <w:tcPr>
            <w:tcW w:w="9142" w:type="dxa"/>
            <w:tcBorders>
              <w:top w:val="nil"/>
              <w:left w:val="single" w:sz="4" w:space="0" w:color="auto"/>
              <w:bottom w:val="single" w:sz="4" w:space="0" w:color="auto"/>
              <w:right w:val="single" w:sz="4" w:space="0" w:color="auto"/>
            </w:tcBorders>
            <w:shd w:val="clear" w:color="auto" w:fill="auto"/>
            <w:vAlign w:val="bottom"/>
            <w:hideMark/>
          </w:tcPr>
          <w:p w:rsidR="005100A6" w:rsidRPr="005100A6" w:rsidRDefault="005100A6" w:rsidP="00AE1C8F">
            <w:pPr>
              <w:pStyle w:val="Default"/>
              <w:autoSpaceDE/>
              <w:autoSpaceDN/>
              <w:adjustRightInd/>
              <w:rPr>
                <w:rFonts w:ascii="Times New Roman" w:eastAsia="Times New Roman" w:hAnsi="Times New Roman" w:cs="Times New Roman"/>
                <w:szCs w:val="20"/>
                <w:lang w:eastAsia="cs-CZ"/>
              </w:rPr>
            </w:pPr>
            <w:r w:rsidRPr="005100A6">
              <w:rPr>
                <w:rFonts w:ascii="Times New Roman" w:eastAsia="Times New Roman" w:hAnsi="Times New Roman" w:cs="Times New Roman"/>
                <w:szCs w:val="20"/>
                <w:lang w:eastAsia="cs-CZ"/>
              </w:rPr>
              <w:t>1. Pozemkové úpravy - plán společného zařízení - pouze účelové komunikace</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2. Pasport komunikací, kvalita konstrukce vozovky - posouzení</w:t>
            </w:r>
          </w:p>
        </w:tc>
      </w:tr>
      <w:tr w:rsidR="005100A6" w:rsidRPr="005100A6" w:rsidTr="00AE1C8F">
        <w:trPr>
          <w:trHeight w:val="57"/>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3. Priority - spojení mezi jednotlivými částmi + hromadná doprava, počet obyvatel místní části, občanská vybavenost (pošta, škola),…</w:t>
            </w:r>
          </w:p>
        </w:tc>
      </w:tr>
      <w:tr w:rsidR="005100A6" w:rsidRPr="005100A6" w:rsidTr="00AE1C8F">
        <w:trPr>
          <w:trHeight w:val="303"/>
        </w:trPr>
        <w:tc>
          <w:tcPr>
            <w:tcW w:w="9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4. Doprovodná infrastruktura (zeleň,…)</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5. Projektová dokumentace…, je-li nutná ze zákona</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6. Projektové žádosti</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7. Výstavba</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lastRenderedPageBreak/>
              <w:t>8. Osvěta - pasporty komunikací</w:t>
            </w:r>
          </w:p>
        </w:tc>
      </w:tr>
      <w:tr w:rsidR="005100A6" w:rsidRPr="005100A6" w:rsidTr="00AE1C8F">
        <w:trPr>
          <w:trHeight w:val="303"/>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 xml:space="preserve"> - řidiči velké techniky</w:t>
            </w:r>
          </w:p>
        </w:tc>
      </w:tr>
    </w:tbl>
    <w:p w:rsidR="005100A6" w:rsidRPr="005100A6" w:rsidRDefault="005100A6" w:rsidP="005100A6">
      <w:pPr>
        <w:rPr>
          <w:szCs w:val="24"/>
        </w:rPr>
      </w:pPr>
      <w:r w:rsidRPr="005100A6">
        <w:rPr>
          <w:szCs w:val="24"/>
        </w:rPr>
        <w:t>Zdroj: PS „Infrastruktura“, 16.6. 2014</w:t>
      </w:r>
    </w:p>
    <w:p w:rsidR="005100A6" w:rsidRPr="005100A6" w:rsidRDefault="005100A6" w:rsidP="005100A6">
      <w:pPr>
        <w:pStyle w:val="Titulek"/>
        <w:rPr>
          <w:color w:val="auto"/>
          <w:sz w:val="24"/>
          <w:szCs w:val="24"/>
        </w:rPr>
      </w:pPr>
      <w:bookmarkStart w:id="22" w:name="_Toc445458943"/>
      <w:bookmarkStart w:id="23" w:name="_Toc446407687"/>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62</w:t>
      </w:r>
      <w:r w:rsidR="000A32E8" w:rsidRPr="005100A6">
        <w:rPr>
          <w:b/>
          <w:color w:val="auto"/>
          <w:sz w:val="24"/>
          <w:szCs w:val="24"/>
        </w:rPr>
        <w:fldChar w:fldCharType="end"/>
      </w:r>
      <w:r w:rsidRPr="005100A6">
        <w:rPr>
          <w:b/>
          <w:color w:val="auto"/>
          <w:sz w:val="24"/>
          <w:szCs w:val="24"/>
        </w:rPr>
        <w:t>:</w:t>
      </w:r>
      <w:r w:rsidRPr="005100A6">
        <w:rPr>
          <w:color w:val="auto"/>
          <w:sz w:val="24"/>
          <w:szCs w:val="24"/>
        </w:rPr>
        <w:t>Návrhy řešení identifikovaných příčin analyzovaného problému „pitná voda“</w:t>
      </w:r>
      <w:bookmarkEnd w:id="22"/>
      <w:bookmarkEnd w:id="23"/>
    </w:p>
    <w:tbl>
      <w:tblPr>
        <w:tblW w:w="9142" w:type="dxa"/>
        <w:tblCellMar>
          <w:left w:w="70" w:type="dxa"/>
          <w:right w:w="70" w:type="dxa"/>
        </w:tblCellMar>
        <w:tblLook w:val="04A0"/>
      </w:tblPr>
      <w:tblGrid>
        <w:gridCol w:w="9142"/>
      </w:tblGrid>
      <w:tr w:rsidR="005100A6" w:rsidRPr="005100A6" w:rsidTr="00AE1C8F">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 3 „Pitná voda“</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pStyle w:val="Default"/>
              <w:autoSpaceDE/>
              <w:autoSpaceDN/>
              <w:adjustRightInd/>
              <w:rPr>
                <w:rFonts w:ascii="Times New Roman" w:eastAsia="Times New Roman" w:hAnsi="Times New Roman" w:cs="Times New Roman"/>
                <w:szCs w:val="20"/>
                <w:lang w:eastAsia="cs-CZ"/>
              </w:rPr>
            </w:pPr>
            <w:r w:rsidRPr="005100A6">
              <w:rPr>
                <w:rFonts w:ascii="Times New Roman" w:eastAsia="Times New Roman" w:hAnsi="Times New Roman" w:cs="Times New Roman"/>
                <w:szCs w:val="20"/>
                <w:lang w:eastAsia="cs-CZ"/>
              </w:rPr>
              <w:t>1. Výpočet nákladů na 1 uživatele vodovodu (kvalita vody)</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2. Hydrogeologický průzkum území</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3. Výstavba vodovodu</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4. Projektová žádost</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5. Projekt</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6. Domovní vrty a studny</w:t>
            </w:r>
          </w:p>
        </w:tc>
      </w:tr>
      <w:tr w:rsidR="005100A6" w:rsidRPr="005100A6" w:rsidTr="00AE1C8F">
        <w:trPr>
          <w:trHeight w:val="309"/>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7. Individuální zdroje vody</w:t>
            </w:r>
          </w:p>
        </w:tc>
      </w:tr>
    </w:tbl>
    <w:p w:rsidR="005100A6" w:rsidRPr="005100A6" w:rsidRDefault="005100A6" w:rsidP="005100A6">
      <w:pPr>
        <w:rPr>
          <w:szCs w:val="24"/>
        </w:rPr>
      </w:pPr>
      <w:r w:rsidRPr="005100A6">
        <w:rPr>
          <w:szCs w:val="24"/>
        </w:rPr>
        <w:t>Zdroj: PS „Infrastruktura“, 16.6. 2014</w:t>
      </w:r>
    </w:p>
    <w:p w:rsidR="005100A6" w:rsidRPr="005100A6" w:rsidRDefault="005100A6" w:rsidP="005100A6">
      <w:pPr>
        <w:rPr>
          <w:szCs w:val="24"/>
        </w:rPr>
      </w:pPr>
    </w:p>
    <w:p w:rsidR="005100A6" w:rsidRPr="005100A6" w:rsidRDefault="005100A6" w:rsidP="005100A6">
      <w:pPr>
        <w:pStyle w:val="Titulek"/>
        <w:rPr>
          <w:color w:val="auto"/>
          <w:sz w:val="24"/>
          <w:szCs w:val="24"/>
        </w:rPr>
      </w:pPr>
      <w:bookmarkStart w:id="24" w:name="_Toc445458944"/>
      <w:bookmarkStart w:id="25" w:name="_Toc446407688"/>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63</w:t>
      </w:r>
      <w:r w:rsidR="000A32E8" w:rsidRPr="005100A6">
        <w:rPr>
          <w:b/>
          <w:color w:val="auto"/>
          <w:sz w:val="24"/>
          <w:szCs w:val="24"/>
        </w:rPr>
        <w:fldChar w:fldCharType="end"/>
      </w:r>
      <w:r w:rsidRPr="005100A6">
        <w:rPr>
          <w:b/>
          <w:color w:val="auto"/>
          <w:sz w:val="24"/>
          <w:szCs w:val="24"/>
        </w:rPr>
        <w:t>:</w:t>
      </w:r>
      <w:r w:rsidRPr="005100A6">
        <w:rPr>
          <w:color w:val="auto"/>
          <w:sz w:val="24"/>
          <w:szCs w:val="24"/>
        </w:rPr>
        <w:t>Návrhy řešení identifikovaných příčin analyzovaného problému „veřejná prostranství a údržba veřejné zeleně“</w:t>
      </w:r>
      <w:bookmarkEnd w:id="24"/>
      <w:bookmarkEnd w:id="25"/>
    </w:p>
    <w:tbl>
      <w:tblPr>
        <w:tblW w:w="9166" w:type="dxa"/>
        <w:tblCellMar>
          <w:left w:w="70" w:type="dxa"/>
          <w:right w:w="70" w:type="dxa"/>
        </w:tblCellMar>
        <w:tblLook w:val="04A0"/>
      </w:tblPr>
      <w:tblGrid>
        <w:gridCol w:w="9166"/>
      </w:tblGrid>
      <w:tr w:rsidR="005100A6" w:rsidRPr="005100A6" w:rsidTr="00AE1C8F">
        <w:trPr>
          <w:trHeight w:val="567"/>
        </w:trPr>
        <w:tc>
          <w:tcPr>
            <w:tcW w:w="9166"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č.4 „Veřejná prostranství a údržba veřejné zeleně“</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pStyle w:val="Default"/>
              <w:autoSpaceDE/>
              <w:autoSpaceDN/>
              <w:adjustRightInd/>
              <w:rPr>
                <w:rFonts w:ascii="Times New Roman" w:eastAsia="Times New Roman" w:hAnsi="Times New Roman" w:cs="Times New Roman"/>
                <w:szCs w:val="20"/>
                <w:lang w:eastAsia="cs-CZ"/>
              </w:rPr>
            </w:pPr>
            <w:r w:rsidRPr="005100A6">
              <w:rPr>
                <w:rFonts w:ascii="Times New Roman" w:eastAsia="Times New Roman" w:hAnsi="Times New Roman" w:cs="Times New Roman"/>
                <w:szCs w:val="20"/>
                <w:lang w:eastAsia="cs-CZ"/>
              </w:rPr>
              <w:t>1. Komunitní plánování</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2. Osvěta - zapojení spolků a jednotlivců</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3. Pozemkové úpravy</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4. Spolupráce s odborníky</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5. Zapojení památkářů a ochránců přírody</w:t>
            </w:r>
          </w:p>
        </w:tc>
      </w:tr>
      <w:tr w:rsidR="005100A6" w:rsidRPr="005100A6" w:rsidTr="00AE1C8F">
        <w:trPr>
          <w:trHeight w:val="309"/>
        </w:trPr>
        <w:tc>
          <w:tcPr>
            <w:tcW w:w="916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6. Dětská hřiště</w:t>
            </w:r>
          </w:p>
        </w:tc>
      </w:tr>
    </w:tbl>
    <w:p w:rsidR="005100A6" w:rsidRPr="005100A6" w:rsidRDefault="005100A6" w:rsidP="005100A6">
      <w:pPr>
        <w:pStyle w:val="DecimalAligned"/>
        <w:tabs>
          <w:tab w:val="clear" w:pos="360"/>
        </w:tabs>
        <w:spacing w:after="0" w:line="360" w:lineRule="auto"/>
        <w:rPr>
          <w:rFonts w:ascii="Times New Roman" w:hAnsi="Times New Roman"/>
          <w:lang w:eastAsia="cs-CZ"/>
        </w:rPr>
      </w:pPr>
      <w:r w:rsidRPr="005100A6">
        <w:rPr>
          <w:rFonts w:ascii="Times New Roman" w:hAnsi="Times New Roman"/>
          <w:lang w:eastAsia="cs-CZ"/>
        </w:rPr>
        <w:t>Zdroj: PS „Infrastruktura“, 16.6. 2014</w:t>
      </w:r>
    </w:p>
    <w:p w:rsidR="005100A6" w:rsidRDefault="005100A6" w:rsidP="005100A6">
      <w:pPr>
        <w:rPr>
          <w:szCs w:val="24"/>
        </w:rPr>
      </w:pPr>
      <w:r>
        <w:rPr>
          <w:szCs w:val="24"/>
        </w:rPr>
        <w:br w:type="page"/>
      </w:r>
    </w:p>
    <w:p w:rsidR="005100A6" w:rsidRPr="005100A6" w:rsidRDefault="005100A6" w:rsidP="005100A6">
      <w:pPr>
        <w:pStyle w:val="Titulek"/>
        <w:rPr>
          <w:color w:val="auto"/>
          <w:sz w:val="24"/>
          <w:szCs w:val="24"/>
        </w:rPr>
      </w:pPr>
      <w:bookmarkStart w:id="26" w:name="_Toc445458945"/>
      <w:bookmarkStart w:id="27" w:name="_Toc446407689"/>
      <w:r w:rsidRPr="005100A6">
        <w:rPr>
          <w:b/>
          <w:color w:val="auto"/>
          <w:sz w:val="24"/>
          <w:szCs w:val="24"/>
        </w:rPr>
        <w:lastRenderedPageBreak/>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64</w:t>
      </w:r>
      <w:r w:rsidR="000A32E8" w:rsidRPr="005100A6">
        <w:rPr>
          <w:b/>
          <w:color w:val="auto"/>
          <w:sz w:val="24"/>
          <w:szCs w:val="24"/>
        </w:rPr>
        <w:fldChar w:fldCharType="end"/>
      </w:r>
      <w:r w:rsidRPr="005100A6">
        <w:rPr>
          <w:b/>
          <w:color w:val="auto"/>
          <w:sz w:val="24"/>
          <w:szCs w:val="24"/>
        </w:rPr>
        <w:t>:</w:t>
      </w:r>
      <w:r w:rsidRPr="005100A6">
        <w:rPr>
          <w:color w:val="auto"/>
          <w:sz w:val="24"/>
          <w:szCs w:val="24"/>
        </w:rPr>
        <w:t>Návrhy řešení identifikovaných příčin analyzovaného problému „oprava a údržba komunikací“</w:t>
      </w:r>
      <w:bookmarkEnd w:id="26"/>
      <w:bookmarkEnd w:id="27"/>
    </w:p>
    <w:tbl>
      <w:tblPr>
        <w:tblpPr w:leftFromText="142" w:rightFromText="142" w:vertAnchor="text" w:horzAnchor="margin" w:tblpY="1"/>
        <w:tblOverlap w:val="never"/>
        <w:tblW w:w="9256" w:type="dxa"/>
        <w:tblCellMar>
          <w:left w:w="70" w:type="dxa"/>
          <w:right w:w="70" w:type="dxa"/>
        </w:tblCellMar>
        <w:tblLook w:val="04A0"/>
      </w:tblPr>
      <w:tblGrid>
        <w:gridCol w:w="9256"/>
      </w:tblGrid>
      <w:tr w:rsidR="005100A6" w:rsidRPr="005100A6" w:rsidTr="00AE1C8F">
        <w:trPr>
          <w:trHeight w:val="567"/>
        </w:trPr>
        <w:tc>
          <w:tcPr>
            <w:tcW w:w="9256"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 5 a 8 „Oprava a údržba komunikací“</w:t>
            </w:r>
          </w:p>
        </w:tc>
      </w:tr>
      <w:tr w:rsidR="005100A6" w:rsidRPr="005100A6" w:rsidTr="00AE1C8F">
        <w:trPr>
          <w:trHeight w:val="309"/>
        </w:trPr>
        <w:tc>
          <w:tcPr>
            <w:tcW w:w="925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1. Pasport komunikací - technický stav</w:t>
            </w:r>
          </w:p>
        </w:tc>
      </w:tr>
      <w:tr w:rsidR="005100A6" w:rsidRPr="005100A6" w:rsidTr="00AE1C8F">
        <w:trPr>
          <w:trHeight w:val="309"/>
        </w:trPr>
        <w:tc>
          <w:tcPr>
            <w:tcW w:w="925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2. Nastavení komunikace s KÚ - meziobecní spolupráce</w:t>
            </w:r>
          </w:p>
        </w:tc>
      </w:tr>
      <w:tr w:rsidR="005100A6" w:rsidRPr="005100A6" w:rsidTr="00AE1C8F">
        <w:trPr>
          <w:trHeight w:val="309"/>
        </w:trPr>
        <w:tc>
          <w:tcPr>
            <w:tcW w:w="925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3. Zapojení obyvatel do hromadných žádostí</w:t>
            </w:r>
          </w:p>
        </w:tc>
      </w:tr>
    </w:tbl>
    <w:p w:rsidR="005100A6" w:rsidRPr="005100A6" w:rsidRDefault="005100A6" w:rsidP="005100A6">
      <w:r w:rsidRPr="005100A6">
        <w:t>Zdroj: PS „Infrastruktura“, 16.6. 2014</w:t>
      </w:r>
    </w:p>
    <w:p w:rsidR="005100A6" w:rsidRPr="005100A6" w:rsidRDefault="005100A6" w:rsidP="005100A6">
      <w:pPr>
        <w:pStyle w:val="Titulek"/>
        <w:rPr>
          <w:color w:val="auto"/>
          <w:sz w:val="24"/>
          <w:szCs w:val="24"/>
        </w:rPr>
      </w:pPr>
      <w:bookmarkStart w:id="28" w:name="_GoBack"/>
      <w:bookmarkStart w:id="29" w:name="_Toc445458946"/>
      <w:bookmarkStart w:id="30" w:name="_Toc446407690"/>
      <w:bookmarkEnd w:id="28"/>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65</w:t>
      </w:r>
      <w:r w:rsidR="000A32E8" w:rsidRPr="005100A6">
        <w:rPr>
          <w:b/>
          <w:color w:val="auto"/>
          <w:sz w:val="24"/>
          <w:szCs w:val="24"/>
        </w:rPr>
        <w:fldChar w:fldCharType="end"/>
      </w:r>
      <w:r w:rsidRPr="005100A6">
        <w:rPr>
          <w:b/>
          <w:color w:val="auto"/>
          <w:sz w:val="24"/>
          <w:szCs w:val="24"/>
        </w:rPr>
        <w:t>:</w:t>
      </w:r>
      <w:r w:rsidRPr="005100A6">
        <w:rPr>
          <w:color w:val="auto"/>
          <w:sz w:val="24"/>
          <w:szCs w:val="24"/>
        </w:rPr>
        <w:t>Návrhy řešení identifikovaných příčin analyzovaného problému „budovy a nemovitý majetek“</w:t>
      </w:r>
      <w:bookmarkEnd w:id="29"/>
      <w:bookmarkEnd w:id="30"/>
    </w:p>
    <w:tbl>
      <w:tblPr>
        <w:tblpPr w:leftFromText="142" w:rightFromText="142" w:vertAnchor="text" w:horzAnchor="margin" w:tblpY="76"/>
        <w:tblOverlap w:val="never"/>
        <w:tblW w:w="9286" w:type="dxa"/>
        <w:tblCellMar>
          <w:left w:w="70" w:type="dxa"/>
          <w:right w:w="70" w:type="dxa"/>
        </w:tblCellMar>
        <w:tblLook w:val="04A0"/>
      </w:tblPr>
      <w:tblGrid>
        <w:gridCol w:w="9286"/>
      </w:tblGrid>
      <w:tr w:rsidR="005100A6" w:rsidRPr="005100A6" w:rsidTr="00AE1C8F">
        <w:trPr>
          <w:trHeight w:val="567"/>
        </w:trPr>
        <w:tc>
          <w:tcPr>
            <w:tcW w:w="9286"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č.6 „Budovy a nemovitý majetek“</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1. Pasport obecních objektů</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2. Návrh využití - zapojení škol, obyvatel - komunitní plánování</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3. Projektová dokumentace</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4. Stavební povolení</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5. Projektová žádost</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6. Rekonstrukce</w:t>
            </w:r>
          </w:p>
        </w:tc>
      </w:tr>
      <w:tr w:rsidR="005100A6" w:rsidRPr="005100A6" w:rsidTr="00AE1C8F">
        <w:trPr>
          <w:trHeight w:val="300"/>
        </w:trPr>
        <w:tc>
          <w:tcPr>
            <w:tcW w:w="9286"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7. Návaznost na zaměstnanost a bydlení</w:t>
            </w:r>
          </w:p>
        </w:tc>
      </w:tr>
    </w:tbl>
    <w:p w:rsidR="005100A6" w:rsidRPr="005100A6" w:rsidRDefault="005100A6" w:rsidP="005100A6">
      <w:pPr>
        <w:pStyle w:val="DecimalAligned"/>
        <w:tabs>
          <w:tab w:val="clear" w:pos="360"/>
        </w:tabs>
        <w:spacing w:after="0" w:line="360" w:lineRule="auto"/>
        <w:rPr>
          <w:rFonts w:ascii="Times New Roman" w:hAnsi="Times New Roman"/>
          <w:lang w:eastAsia="cs-CZ"/>
        </w:rPr>
      </w:pPr>
      <w:r w:rsidRPr="005100A6">
        <w:rPr>
          <w:rFonts w:ascii="Times New Roman" w:hAnsi="Times New Roman"/>
          <w:lang w:eastAsia="cs-CZ"/>
        </w:rPr>
        <w:t>Zdroj: PS „Infrastruktura“, 16.6. 2014</w:t>
      </w:r>
    </w:p>
    <w:p w:rsidR="005100A6" w:rsidRPr="005100A6" w:rsidRDefault="005100A6" w:rsidP="005100A6">
      <w:pPr>
        <w:pStyle w:val="DecimalAligned"/>
        <w:tabs>
          <w:tab w:val="clear" w:pos="360"/>
        </w:tabs>
        <w:spacing w:after="0" w:line="360" w:lineRule="auto"/>
        <w:rPr>
          <w:rFonts w:ascii="Times New Roman" w:hAnsi="Times New Roman"/>
          <w:lang w:eastAsia="cs-CZ"/>
        </w:rPr>
      </w:pPr>
    </w:p>
    <w:p w:rsidR="005100A6" w:rsidRPr="005100A6" w:rsidRDefault="005100A6" w:rsidP="005100A6">
      <w:pPr>
        <w:pStyle w:val="Titulek"/>
        <w:rPr>
          <w:color w:val="auto"/>
          <w:sz w:val="24"/>
          <w:szCs w:val="24"/>
        </w:rPr>
      </w:pPr>
      <w:bookmarkStart w:id="31" w:name="_Toc445458947"/>
      <w:bookmarkStart w:id="32" w:name="_Toc446407691"/>
      <w:r w:rsidRPr="005100A6">
        <w:rPr>
          <w:b/>
          <w:color w:val="auto"/>
          <w:sz w:val="24"/>
          <w:szCs w:val="24"/>
        </w:rPr>
        <w:t xml:space="preserve">Tabulka </w:t>
      </w:r>
      <w:r w:rsidR="000A32E8" w:rsidRPr="005100A6">
        <w:rPr>
          <w:b/>
          <w:color w:val="auto"/>
          <w:sz w:val="24"/>
          <w:szCs w:val="24"/>
        </w:rPr>
        <w:fldChar w:fldCharType="begin"/>
      </w:r>
      <w:r w:rsidRPr="005100A6">
        <w:rPr>
          <w:b/>
          <w:color w:val="auto"/>
          <w:sz w:val="24"/>
          <w:szCs w:val="24"/>
        </w:rPr>
        <w:instrText xml:space="preserve"> SEQ Tabulka \* ARABIC </w:instrText>
      </w:r>
      <w:r w:rsidR="000A32E8" w:rsidRPr="005100A6">
        <w:rPr>
          <w:b/>
          <w:color w:val="auto"/>
          <w:sz w:val="24"/>
          <w:szCs w:val="24"/>
        </w:rPr>
        <w:fldChar w:fldCharType="separate"/>
      </w:r>
      <w:r w:rsidRPr="005100A6">
        <w:rPr>
          <w:b/>
          <w:noProof/>
          <w:color w:val="auto"/>
          <w:sz w:val="24"/>
          <w:szCs w:val="24"/>
        </w:rPr>
        <w:t>66</w:t>
      </w:r>
      <w:r w:rsidR="000A32E8" w:rsidRPr="005100A6">
        <w:rPr>
          <w:b/>
          <w:color w:val="auto"/>
          <w:sz w:val="24"/>
          <w:szCs w:val="24"/>
        </w:rPr>
        <w:fldChar w:fldCharType="end"/>
      </w:r>
      <w:r w:rsidRPr="005100A6">
        <w:rPr>
          <w:color w:val="auto"/>
          <w:sz w:val="24"/>
          <w:szCs w:val="24"/>
        </w:rPr>
        <w:t>: Návrhy řešení identifikovaných příčin analyzovaného problému „rybníky“</w:t>
      </w:r>
      <w:bookmarkEnd w:id="31"/>
      <w:bookmarkEnd w:id="32"/>
    </w:p>
    <w:tbl>
      <w:tblPr>
        <w:tblpPr w:leftFromText="142" w:rightFromText="142" w:vertAnchor="text" w:horzAnchor="margin" w:tblpY="1"/>
        <w:tblOverlap w:val="never"/>
        <w:tblW w:w="9284" w:type="dxa"/>
        <w:tblCellMar>
          <w:left w:w="70" w:type="dxa"/>
          <w:right w:w="70" w:type="dxa"/>
        </w:tblCellMar>
        <w:tblLook w:val="04A0"/>
      </w:tblPr>
      <w:tblGrid>
        <w:gridCol w:w="9284"/>
      </w:tblGrid>
      <w:tr w:rsidR="005100A6" w:rsidRPr="005100A6" w:rsidTr="00AE1C8F">
        <w:trPr>
          <w:trHeight w:val="567"/>
        </w:trPr>
        <w:tc>
          <w:tcPr>
            <w:tcW w:w="9284" w:type="dxa"/>
            <w:tcBorders>
              <w:top w:val="single" w:sz="4" w:space="0" w:color="auto"/>
              <w:left w:val="single" w:sz="4" w:space="0" w:color="auto"/>
              <w:bottom w:val="single" w:sz="4" w:space="0" w:color="auto"/>
              <w:right w:val="single" w:sz="4" w:space="0" w:color="auto"/>
            </w:tcBorders>
            <w:shd w:val="clear" w:color="auto" w:fill="00FF00"/>
            <w:noWrap/>
            <w:vAlign w:val="center"/>
            <w:hideMark/>
          </w:tcPr>
          <w:p w:rsidR="005100A6" w:rsidRPr="005100A6" w:rsidRDefault="005100A6" w:rsidP="00AE1C8F">
            <w:pPr>
              <w:spacing w:line="240" w:lineRule="auto"/>
              <w:jc w:val="center"/>
              <w:rPr>
                <w:b/>
                <w:bCs/>
                <w:color w:val="000000"/>
                <w:sz w:val="28"/>
                <w:szCs w:val="28"/>
              </w:rPr>
            </w:pPr>
            <w:r w:rsidRPr="005100A6">
              <w:rPr>
                <w:rFonts w:eastAsiaTheme="majorEastAsia"/>
                <w:b/>
                <w:sz w:val="28"/>
                <w:szCs w:val="28"/>
              </w:rPr>
              <w:t>Návrhy řešení identifikovaných příčin problému č.7 „Rybníky“</w:t>
            </w:r>
          </w:p>
        </w:tc>
      </w:tr>
      <w:tr w:rsidR="005100A6" w:rsidRPr="005100A6" w:rsidTr="00AE1C8F">
        <w:trPr>
          <w:trHeight w:val="305"/>
        </w:trPr>
        <w:tc>
          <w:tcPr>
            <w:tcW w:w="9284"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1. Pasportizace - spolupráce s vodohospodářským úřadem</w:t>
            </w:r>
          </w:p>
        </w:tc>
      </w:tr>
      <w:tr w:rsidR="005100A6" w:rsidRPr="005100A6" w:rsidTr="00AE1C8F">
        <w:trPr>
          <w:trHeight w:val="640"/>
        </w:trPr>
        <w:tc>
          <w:tcPr>
            <w:tcW w:w="9284" w:type="dxa"/>
            <w:tcBorders>
              <w:top w:val="nil"/>
              <w:left w:val="single" w:sz="4" w:space="0" w:color="auto"/>
              <w:bottom w:val="single" w:sz="4" w:space="0" w:color="auto"/>
              <w:right w:val="single" w:sz="4" w:space="0" w:color="auto"/>
            </w:tcBorders>
            <w:shd w:val="clear" w:color="auto" w:fill="auto"/>
            <w:vAlign w:val="bottom"/>
            <w:hideMark/>
          </w:tcPr>
          <w:p w:rsidR="005100A6" w:rsidRPr="005100A6" w:rsidRDefault="005100A6" w:rsidP="00AE1C8F">
            <w:pPr>
              <w:spacing w:line="240" w:lineRule="auto"/>
              <w:rPr>
                <w:color w:val="000000"/>
              </w:rPr>
            </w:pPr>
            <w:r w:rsidRPr="005100A6">
              <w:rPr>
                <w:color w:val="000000"/>
              </w:rPr>
              <w:t>2. Kategorizace a příprava provozních řádů a manipulačních řádů - podpora rekreačního využití rybníků</w:t>
            </w:r>
          </w:p>
        </w:tc>
      </w:tr>
      <w:tr w:rsidR="005100A6" w:rsidRPr="005100A6" w:rsidTr="00AE1C8F">
        <w:trPr>
          <w:trHeight w:val="609"/>
        </w:trPr>
        <w:tc>
          <w:tcPr>
            <w:tcW w:w="9284" w:type="dxa"/>
            <w:tcBorders>
              <w:top w:val="nil"/>
              <w:left w:val="single" w:sz="4" w:space="0" w:color="auto"/>
              <w:bottom w:val="single" w:sz="4" w:space="0" w:color="auto"/>
              <w:right w:val="single" w:sz="4" w:space="0" w:color="auto"/>
            </w:tcBorders>
            <w:shd w:val="clear" w:color="auto" w:fill="auto"/>
            <w:vAlign w:val="bottom"/>
            <w:hideMark/>
          </w:tcPr>
          <w:p w:rsidR="005100A6" w:rsidRPr="005100A6" w:rsidRDefault="005100A6" w:rsidP="00AE1C8F">
            <w:pPr>
              <w:spacing w:line="240" w:lineRule="auto"/>
              <w:rPr>
                <w:color w:val="000000"/>
              </w:rPr>
            </w:pPr>
            <w:r w:rsidRPr="005100A6">
              <w:rPr>
                <w:color w:val="000000"/>
              </w:rPr>
              <w:t>3. Přizpůsobení místním přírodním podmínkám - zemědělské hospodaření a hospodaření na rybníku, při podpoře odbahnění následuje možnost koupání</w:t>
            </w:r>
          </w:p>
        </w:tc>
      </w:tr>
      <w:tr w:rsidR="005100A6" w:rsidRPr="005100A6" w:rsidTr="00AE1C8F">
        <w:trPr>
          <w:trHeight w:val="305"/>
        </w:trPr>
        <w:tc>
          <w:tcPr>
            <w:tcW w:w="9284"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4. Čištění přítoků</w:t>
            </w:r>
          </w:p>
        </w:tc>
      </w:tr>
      <w:tr w:rsidR="005100A6" w:rsidRPr="005100A6" w:rsidTr="00AE1C8F">
        <w:trPr>
          <w:trHeight w:val="305"/>
        </w:trPr>
        <w:tc>
          <w:tcPr>
            <w:tcW w:w="9284"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5. Projektová dokumentace, rozbory bahna a návrh uložení</w:t>
            </w:r>
          </w:p>
        </w:tc>
      </w:tr>
      <w:tr w:rsidR="005100A6" w:rsidRPr="005100A6" w:rsidTr="00AE1C8F">
        <w:trPr>
          <w:trHeight w:val="305"/>
        </w:trPr>
        <w:tc>
          <w:tcPr>
            <w:tcW w:w="9284" w:type="dxa"/>
            <w:tcBorders>
              <w:top w:val="nil"/>
              <w:left w:val="single" w:sz="4" w:space="0" w:color="auto"/>
              <w:bottom w:val="single" w:sz="4" w:space="0" w:color="auto"/>
              <w:right w:val="single" w:sz="4" w:space="0" w:color="auto"/>
            </w:tcBorders>
            <w:shd w:val="clear" w:color="auto" w:fill="auto"/>
            <w:noWrap/>
            <w:vAlign w:val="bottom"/>
            <w:hideMark/>
          </w:tcPr>
          <w:p w:rsidR="005100A6" w:rsidRPr="005100A6" w:rsidRDefault="005100A6" w:rsidP="00AE1C8F">
            <w:pPr>
              <w:spacing w:line="240" w:lineRule="auto"/>
              <w:rPr>
                <w:color w:val="000000"/>
              </w:rPr>
            </w:pPr>
            <w:r w:rsidRPr="005100A6">
              <w:rPr>
                <w:color w:val="000000"/>
              </w:rPr>
              <w:t>6. Stavba → rekreační využití</w:t>
            </w:r>
          </w:p>
        </w:tc>
      </w:tr>
    </w:tbl>
    <w:p w:rsidR="005100A6" w:rsidRPr="005100A6" w:rsidRDefault="005100A6" w:rsidP="005100A6">
      <w:pPr>
        <w:rPr>
          <w:szCs w:val="24"/>
        </w:rPr>
      </w:pPr>
      <w:r w:rsidRPr="005100A6">
        <w:rPr>
          <w:szCs w:val="24"/>
        </w:rPr>
        <w:lastRenderedPageBreak/>
        <w:t>Zdroj: PS „Infrastruktura“, 16.6. 2014</w:t>
      </w:r>
    </w:p>
    <w:p w:rsidR="005100A6" w:rsidRPr="005100A6" w:rsidRDefault="005100A6" w:rsidP="005100A6">
      <w:pPr>
        <w:rPr>
          <w:szCs w:val="24"/>
        </w:rPr>
      </w:pPr>
    </w:p>
    <w:p w:rsidR="005100A6" w:rsidRPr="005100A6" w:rsidRDefault="005100A6" w:rsidP="005100A6">
      <w:r w:rsidRPr="005100A6">
        <w:t xml:space="preserve">Pracovní skupina na základě proběhlého jednání a s ohledem na potřeby zájmového území navrhla pro 1. prioritu formulaci specifického cíle a operačních cílů: </w:t>
      </w:r>
    </w:p>
    <w:p w:rsidR="005100A6" w:rsidRPr="005100A6" w:rsidRDefault="005100A6" w:rsidP="005100A6"/>
    <w:p w:rsidR="005100A6" w:rsidRPr="005100A6" w:rsidRDefault="005100A6">
      <w:pPr>
        <w:rPr>
          <w:b/>
          <w:szCs w:val="24"/>
        </w:rPr>
      </w:pPr>
      <w:r w:rsidRPr="005100A6">
        <w:rPr>
          <w:b/>
          <w:szCs w:val="24"/>
        </w:rPr>
        <w:t xml:space="preserve">Výstupy z 2. pracovní schůzky PS „Infrastruktura“ byly využity pro zpracování strategických cílů, Aktivita a aktivit pro prioritu č.1 „SPOLEHLIVÁ INFRASTRUKTURA“ </w:t>
      </w:r>
      <w:r w:rsidRPr="005100A6">
        <w:rPr>
          <w:b/>
        </w:rPr>
        <w:t>Integrované strategie území MAS Krajina srdce, z.s. pro období let 2014 – 2020.</w:t>
      </w:r>
    </w:p>
    <w:sectPr w:rsidR="005100A6" w:rsidRPr="005100A6" w:rsidSect="000A32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11937"/>
    <w:multiLevelType w:val="multilevel"/>
    <w:tmpl w:val="95FA159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3270" w:hanging="576"/>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Nadpis3"/>
      <w:lvlText w:val="%1.%2.%3"/>
      <w:lvlJc w:val="left"/>
      <w:pPr>
        <w:ind w:left="720" w:hanging="72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1432"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100A6"/>
    <w:rsid w:val="000A32E8"/>
    <w:rsid w:val="000E5DBB"/>
    <w:rsid w:val="004C20CD"/>
    <w:rsid w:val="004F652D"/>
    <w:rsid w:val="005100A6"/>
    <w:rsid w:val="006E5F0C"/>
    <w:rsid w:val="00C81B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2E8"/>
  </w:style>
  <w:style w:type="paragraph" w:styleId="Nadpis1">
    <w:name w:val="heading 1"/>
    <w:basedOn w:val="Normln"/>
    <w:next w:val="Normln"/>
    <w:link w:val="Nadpis1Char"/>
    <w:uiPriority w:val="9"/>
    <w:qFormat/>
    <w:rsid w:val="005100A6"/>
    <w:pPr>
      <w:keepNext/>
      <w:keepLines/>
      <w:numPr>
        <w:numId w:val="1"/>
      </w:numPr>
      <w:spacing w:before="240" w:after="240" w:line="360" w:lineRule="auto"/>
      <w:jc w:val="both"/>
      <w:outlineLvl w:val="0"/>
    </w:pPr>
    <w:rPr>
      <w:rFonts w:ascii="Times New Roman" w:eastAsiaTheme="majorEastAsia" w:hAnsi="Times New Roman" w:cstheme="majorBidi"/>
      <w:b/>
      <w:color w:val="000000" w:themeColor="text1"/>
      <w:sz w:val="36"/>
      <w:szCs w:val="32"/>
      <w:lang w:eastAsia="cs-CZ"/>
    </w:rPr>
  </w:style>
  <w:style w:type="paragraph" w:styleId="Nadpis2">
    <w:name w:val="heading 2"/>
    <w:basedOn w:val="Normln"/>
    <w:next w:val="Normln"/>
    <w:link w:val="Nadpis2Char"/>
    <w:uiPriority w:val="9"/>
    <w:unhideWhenUsed/>
    <w:qFormat/>
    <w:rsid w:val="005100A6"/>
    <w:pPr>
      <w:keepNext/>
      <w:keepLines/>
      <w:numPr>
        <w:ilvl w:val="1"/>
        <w:numId w:val="1"/>
      </w:numPr>
      <w:spacing w:after="240" w:line="360" w:lineRule="auto"/>
      <w:ind w:left="578" w:hanging="578"/>
      <w:jc w:val="both"/>
      <w:outlineLvl w:val="1"/>
    </w:pPr>
    <w:rPr>
      <w:rFonts w:ascii="Times New Roman" w:eastAsiaTheme="majorEastAsia" w:hAnsi="Times New Roman" w:cstheme="majorBidi"/>
      <w:b/>
      <w:sz w:val="32"/>
      <w:szCs w:val="26"/>
      <w:lang w:eastAsia="cs-CZ"/>
    </w:rPr>
  </w:style>
  <w:style w:type="paragraph" w:styleId="Nadpis3">
    <w:name w:val="heading 3"/>
    <w:basedOn w:val="Normln"/>
    <w:next w:val="Normln"/>
    <w:link w:val="Nadpis3Char"/>
    <w:uiPriority w:val="9"/>
    <w:unhideWhenUsed/>
    <w:qFormat/>
    <w:rsid w:val="005100A6"/>
    <w:pPr>
      <w:keepNext/>
      <w:keepLines/>
      <w:numPr>
        <w:ilvl w:val="2"/>
        <w:numId w:val="1"/>
      </w:numPr>
      <w:spacing w:before="120" w:after="120" w:line="360" w:lineRule="auto"/>
      <w:jc w:val="both"/>
      <w:outlineLvl w:val="2"/>
    </w:pPr>
    <w:rPr>
      <w:rFonts w:ascii="Times New Roman" w:eastAsiaTheme="majorEastAsia" w:hAnsi="Times New Roman" w:cstheme="majorBidi"/>
      <w:b/>
      <w:sz w:val="28"/>
      <w:szCs w:val="24"/>
      <w:lang w:eastAsia="cs-CZ"/>
    </w:rPr>
  </w:style>
  <w:style w:type="paragraph" w:styleId="Nadpis4">
    <w:name w:val="heading 4"/>
    <w:basedOn w:val="Normln"/>
    <w:next w:val="Normln"/>
    <w:link w:val="Nadpis4Char"/>
    <w:uiPriority w:val="9"/>
    <w:unhideWhenUsed/>
    <w:qFormat/>
    <w:rsid w:val="005100A6"/>
    <w:pPr>
      <w:keepNext/>
      <w:keepLines/>
      <w:numPr>
        <w:ilvl w:val="3"/>
        <w:numId w:val="1"/>
      </w:numPr>
      <w:spacing w:before="240" w:after="240" w:line="360" w:lineRule="auto"/>
      <w:ind w:left="864"/>
      <w:jc w:val="both"/>
      <w:outlineLvl w:val="3"/>
    </w:pPr>
    <w:rPr>
      <w:rFonts w:ascii="Times New Roman" w:eastAsiaTheme="majorEastAsia" w:hAnsi="Times New Roman" w:cstheme="majorBidi"/>
      <w:b/>
      <w:iCs/>
      <w:sz w:val="24"/>
      <w:szCs w:val="20"/>
      <w:lang w:eastAsia="cs-CZ"/>
    </w:rPr>
  </w:style>
  <w:style w:type="paragraph" w:styleId="Nadpis5">
    <w:name w:val="heading 5"/>
    <w:basedOn w:val="Normln"/>
    <w:next w:val="Normln"/>
    <w:link w:val="Nadpis5Char"/>
    <w:uiPriority w:val="9"/>
    <w:unhideWhenUsed/>
    <w:qFormat/>
    <w:rsid w:val="005100A6"/>
    <w:pPr>
      <w:keepNext/>
      <w:keepLines/>
      <w:numPr>
        <w:ilvl w:val="4"/>
        <w:numId w:val="1"/>
      </w:numPr>
      <w:spacing w:before="240" w:after="240" w:line="360" w:lineRule="auto"/>
      <w:jc w:val="both"/>
      <w:outlineLvl w:val="4"/>
    </w:pPr>
    <w:rPr>
      <w:rFonts w:ascii="Times New Roman" w:eastAsiaTheme="majorEastAsia" w:hAnsi="Times New Roman" w:cstheme="majorBidi"/>
      <w:b/>
      <w:sz w:val="24"/>
      <w:szCs w:val="20"/>
      <w:lang w:eastAsia="cs-CZ"/>
    </w:rPr>
  </w:style>
  <w:style w:type="paragraph" w:styleId="Nadpis6">
    <w:name w:val="heading 6"/>
    <w:basedOn w:val="Normln"/>
    <w:next w:val="Normln"/>
    <w:link w:val="Nadpis6Char"/>
    <w:uiPriority w:val="9"/>
    <w:unhideWhenUsed/>
    <w:qFormat/>
    <w:rsid w:val="005100A6"/>
    <w:pPr>
      <w:keepNext/>
      <w:keepLines/>
      <w:numPr>
        <w:ilvl w:val="5"/>
        <w:numId w:val="1"/>
      </w:numPr>
      <w:spacing w:before="40" w:after="0" w:line="360" w:lineRule="auto"/>
      <w:jc w:val="both"/>
      <w:outlineLvl w:val="5"/>
    </w:pPr>
    <w:rPr>
      <w:rFonts w:ascii="Times New Roman" w:eastAsiaTheme="majorEastAsia" w:hAnsi="Times New Roman" w:cstheme="majorBidi"/>
      <w:b/>
      <w:sz w:val="32"/>
      <w:szCs w:val="20"/>
      <w:lang w:eastAsia="cs-CZ"/>
    </w:rPr>
  </w:style>
  <w:style w:type="paragraph" w:styleId="Nadpis7">
    <w:name w:val="heading 7"/>
    <w:basedOn w:val="Normln"/>
    <w:next w:val="Normln"/>
    <w:link w:val="Nadpis7Char"/>
    <w:uiPriority w:val="9"/>
    <w:unhideWhenUsed/>
    <w:qFormat/>
    <w:rsid w:val="005100A6"/>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
    <w:semiHidden/>
    <w:unhideWhenUsed/>
    <w:qFormat/>
    <w:rsid w:val="005100A6"/>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5100A6"/>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0A6"/>
    <w:rPr>
      <w:rFonts w:ascii="Times New Roman" w:eastAsiaTheme="majorEastAsia" w:hAnsi="Times New Roman" w:cstheme="majorBidi"/>
      <w:b/>
      <w:color w:val="000000" w:themeColor="text1"/>
      <w:sz w:val="36"/>
      <w:szCs w:val="32"/>
      <w:lang w:eastAsia="cs-CZ"/>
    </w:rPr>
  </w:style>
  <w:style w:type="character" w:customStyle="1" w:styleId="Nadpis2Char">
    <w:name w:val="Nadpis 2 Char"/>
    <w:basedOn w:val="Standardnpsmoodstavce"/>
    <w:link w:val="Nadpis2"/>
    <w:uiPriority w:val="9"/>
    <w:rsid w:val="005100A6"/>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5100A6"/>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rsid w:val="005100A6"/>
    <w:rPr>
      <w:rFonts w:ascii="Times New Roman" w:eastAsiaTheme="majorEastAsia" w:hAnsi="Times New Roman" w:cstheme="majorBidi"/>
      <w:b/>
      <w:iCs/>
      <w:sz w:val="24"/>
      <w:szCs w:val="20"/>
      <w:lang w:eastAsia="cs-CZ"/>
    </w:rPr>
  </w:style>
  <w:style w:type="character" w:customStyle="1" w:styleId="Nadpis5Char">
    <w:name w:val="Nadpis 5 Char"/>
    <w:basedOn w:val="Standardnpsmoodstavce"/>
    <w:link w:val="Nadpis5"/>
    <w:uiPriority w:val="9"/>
    <w:rsid w:val="005100A6"/>
    <w:rPr>
      <w:rFonts w:ascii="Times New Roman" w:eastAsiaTheme="majorEastAsia" w:hAnsi="Times New Roman" w:cstheme="majorBidi"/>
      <w:b/>
      <w:sz w:val="24"/>
      <w:szCs w:val="20"/>
      <w:lang w:eastAsia="cs-CZ"/>
    </w:rPr>
  </w:style>
  <w:style w:type="character" w:customStyle="1" w:styleId="Nadpis6Char">
    <w:name w:val="Nadpis 6 Char"/>
    <w:basedOn w:val="Standardnpsmoodstavce"/>
    <w:link w:val="Nadpis6"/>
    <w:uiPriority w:val="9"/>
    <w:rsid w:val="005100A6"/>
    <w:rPr>
      <w:rFonts w:ascii="Times New Roman" w:eastAsiaTheme="majorEastAsia" w:hAnsi="Times New Roman" w:cstheme="majorBidi"/>
      <w:b/>
      <w:sz w:val="32"/>
      <w:szCs w:val="20"/>
      <w:lang w:eastAsia="cs-CZ"/>
    </w:rPr>
  </w:style>
  <w:style w:type="character" w:customStyle="1" w:styleId="Nadpis7Char">
    <w:name w:val="Nadpis 7 Char"/>
    <w:basedOn w:val="Standardnpsmoodstavce"/>
    <w:link w:val="Nadpis7"/>
    <w:uiPriority w:val="9"/>
    <w:rsid w:val="005100A6"/>
    <w:rPr>
      <w:rFonts w:asciiTheme="majorHAnsi" w:eastAsiaTheme="majorEastAsia" w:hAnsiTheme="majorHAnsi" w:cstheme="majorBidi"/>
      <w:i/>
      <w:iCs/>
      <w:color w:val="243F60" w:themeColor="accent1" w:themeShade="7F"/>
      <w:sz w:val="24"/>
      <w:szCs w:val="20"/>
      <w:lang w:eastAsia="cs-CZ"/>
    </w:rPr>
  </w:style>
  <w:style w:type="character" w:customStyle="1" w:styleId="Nadpis8Char">
    <w:name w:val="Nadpis 8 Char"/>
    <w:basedOn w:val="Standardnpsmoodstavce"/>
    <w:link w:val="Nadpis8"/>
    <w:uiPriority w:val="9"/>
    <w:semiHidden/>
    <w:rsid w:val="005100A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5100A6"/>
    <w:rPr>
      <w:rFonts w:asciiTheme="majorHAnsi" w:eastAsiaTheme="majorEastAsia" w:hAnsiTheme="majorHAnsi" w:cstheme="majorBidi"/>
      <w:i/>
      <w:iCs/>
      <w:color w:val="272727" w:themeColor="text1" w:themeTint="D8"/>
      <w:sz w:val="21"/>
      <w:szCs w:val="21"/>
      <w:lang w:eastAsia="cs-CZ"/>
    </w:rPr>
  </w:style>
  <w:style w:type="paragraph" w:customStyle="1" w:styleId="Default">
    <w:name w:val="Default"/>
    <w:link w:val="DefaultChar"/>
    <w:rsid w:val="005100A6"/>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510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5100A6"/>
    <w:pPr>
      <w:spacing w:line="240" w:lineRule="auto"/>
      <w:jc w:val="both"/>
    </w:pPr>
    <w:rPr>
      <w:rFonts w:ascii="Times New Roman" w:eastAsia="Times New Roman" w:hAnsi="Times New Roman" w:cs="Times New Roman"/>
      <w:i/>
      <w:iCs/>
      <w:color w:val="1F497D" w:themeColor="text2"/>
      <w:sz w:val="18"/>
      <w:szCs w:val="18"/>
      <w:lang w:eastAsia="cs-CZ"/>
    </w:rPr>
  </w:style>
  <w:style w:type="paragraph" w:customStyle="1" w:styleId="DecimalAligned">
    <w:name w:val="Decimal Aligned"/>
    <w:basedOn w:val="Normln"/>
    <w:uiPriority w:val="40"/>
    <w:qFormat/>
    <w:rsid w:val="005100A6"/>
    <w:pPr>
      <w:tabs>
        <w:tab w:val="decimal" w:pos="360"/>
      </w:tabs>
      <w:jc w:val="both"/>
    </w:pPr>
    <w:rPr>
      <w:rFonts w:ascii="Calibri" w:eastAsia="Times New Roman" w:hAnsi="Calibri" w:cs="Times New Roman"/>
    </w:rPr>
  </w:style>
  <w:style w:type="character" w:customStyle="1" w:styleId="DefaultChar">
    <w:name w:val="Default Char"/>
    <w:link w:val="Default"/>
    <w:rsid w:val="005100A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100A6"/>
    <w:pPr>
      <w:keepNext/>
      <w:keepLines/>
      <w:numPr>
        <w:numId w:val="1"/>
      </w:numPr>
      <w:spacing w:before="240" w:after="240" w:line="360" w:lineRule="auto"/>
      <w:jc w:val="both"/>
      <w:outlineLvl w:val="0"/>
    </w:pPr>
    <w:rPr>
      <w:rFonts w:ascii="Times New Roman" w:eastAsiaTheme="majorEastAsia" w:hAnsi="Times New Roman" w:cstheme="majorBidi"/>
      <w:b/>
      <w:color w:val="000000" w:themeColor="text1"/>
      <w:sz w:val="36"/>
      <w:szCs w:val="32"/>
      <w:lang w:eastAsia="cs-CZ"/>
    </w:rPr>
  </w:style>
  <w:style w:type="paragraph" w:styleId="Nadpis2">
    <w:name w:val="heading 2"/>
    <w:basedOn w:val="Normln"/>
    <w:next w:val="Normln"/>
    <w:link w:val="Nadpis2Char"/>
    <w:uiPriority w:val="9"/>
    <w:unhideWhenUsed/>
    <w:qFormat/>
    <w:rsid w:val="005100A6"/>
    <w:pPr>
      <w:keepNext/>
      <w:keepLines/>
      <w:numPr>
        <w:ilvl w:val="1"/>
        <w:numId w:val="1"/>
      </w:numPr>
      <w:spacing w:after="240" w:line="360" w:lineRule="auto"/>
      <w:ind w:left="578" w:hanging="578"/>
      <w:jc w:val="both"/>
      <w:outlineLvl w:val="1"/>
    </w:pPr>
    <w:rPr>
      <w:rFonts w:ascii="Times New Roman" w:eastAsiaTheme="majorEastAsia" w:hAnsi="Times New Roman" w:cstheme="majorBidi"/>
      <w:b/>
      <w:sz w:val="32"/>
      <w:szCs w:val="26"/>
      <w:lang w:eastAsia="cs-CZ"/>
    </w:rPr>
  </w:style>
  <w:style w:type="paragraph" w:styleId="Nadpis3">
    <w:name w:val="heading 3"/>
    <w:basedOn w:val="Normln"/>
    <w:next w:val="Normln"/>
    <w:link w:val="Nadpis3Char"/>
    <w:uiPriority w:val="9"/>
    <w:unhideWhenUsed/>
    <w:qFormat/>
    <w:rsid w:val="005100A6"/>
    <w:pPr>
      <w:keepNext/>
      <w:keepLines/>
      <w:numPr>
        <w:ilvl w:val="2"/>
        <w:numId w:val="1"/>
      </w:numPr>
      <w:spacing w:before="120" w:after="120" w:line="360" w:lineRule="auto"/>
      <w:jc w:val="both"/>
      <w:outlineLvl w:val="2"/>
    </w:pPr>
    <w:rPr>
      <w:rFonts w:ascii="Times New Roman" w:eastAsiaTheme="majorEastAsia" w:hAnsi="Times New Roman" w:cstheme="majorBidi"/>
      <w:b/>
      <w:sz w:val="28"/>
      <w:szCs w:val="24"/>
      <w:lang w:eastAsia="cs-CZ"/>
    </w:rPr>
  </w:style>
  <w:style w:type="paragraph" w:styleId="Nadpis4">
    <w:name w:val="heading 4"/>
    <w:basedOn w:val="Normln"/>
    <w:next w:val="Normln"/>
    <w:link w:val="Nadpis4Char"/>
    <w:uiPriority w:val="9"/>
    <w:unhideWhenUsed/>
    <w:qFormat/>
    <w:rsid w:val="005100A6"/>
    <w:pPr>
      <w:keepNext/>
      <w:keepLines/>
      <w:numPr>
        <w:ilvl w:val="3"/>
        <w:numId w:val="1"/>
      </w:numPr>
      <w:spacing w:before="240" w:after="240" w:line="360" w:lineRule="auto"/>
      <w:ind w:left="864"/>
      <w:jc w:val="both"/>
      <w:outlineLvl w:val="3"/>
    </w:pPr>
    <w:rPr>
      <w:rFonts w:ascii="Times New Roman" w:eastAsiaTheme="majorEastAsia" w:hAnsi="Times New Roman" w:cstheme="majorBidi"/>
      <w:b/>
      <w:iCs/>
      <w:sz w:val="24"/>
      <w:szCs w:val="20"/>
      <w:lang w:eastAsia="cs-CZ"/>
    </w:rPr>
  </w:style>
  <w:style w:type="paragraph" w:styleId="Nadpis5">
    <w:name w:val="heading 5"/>
    <w:basedOn w:val="Normln"/>
    <w:next w:val="Normln"/>
    <w:link w:val="Nadpis5Char"/>
    <w:uiPriority w:val="9"/>
    <w:unhideWhenUsed/>
    <w:qFormat/>
    <w:rsid w:val="005100A6"/>
    <w:pPr>
      <w:keepNext/>
      <w:keepLines/>
      <w:numPr>
        <w:ilvl w:val="4"/>
        <w:numId w:val="1"/>
      </w:numPr>
      <w:spacing w:before="240" w:after="240" w:line="360" w:lineRule="auto"/>
      <w:jc w:val="both"/>
      <w:outlineLvl w:val="4"/>
    </w:pPr>
    <w:rPr>
      <w:rFonts w:ascii="Times New Roman" w:eastAsiaTheme="majorEastAsia" w:hAnsi="Times New Roman" w:cstheme="majorBidi"/>
      <w:b/>
      <w:sz w:val="24"/>
      <w:szCs w:val="20"/>
      <w:lang w:eastAsia="cs-CZ"/>
    </w:rPr>
  </w:style>
  <w:style w:type="paragraph" w:styleId="Nadpis6">
    <w:name w:val="heading 6"/>
    <w:basedOn w:val="Normln"/>
    <w:next w:val="Normln"/>
    <w:link w:val="Nadpis6Char"/>
    <w:uiPriority w:val="9"/>
    <w:unhideWhenUsed/>
    <w:qFormat/>
    <w:rsid w:val="005100A6"/>
    <w:pPr>
      <w:keepNext/>
      <w:keepLines/>
      <w:numPr>
        <w:ilvl w:val="5"/>
        <w:numId w:val="1"/>
      </w:numPr>
      <w:spacing w:before="40" w:after="0" w:line="360" w:lineRule="auto"/>
      <w:jc w:val="both"/>
      <w:outlineLvl w:val="5"/>
    </w:pPr>
    <w:rPr>
      <w:rFonts w:ascii="Times New Roman" w:eastAsiaTheme="majorEastAsia" w:hAnsi="Times New Roman" w:cstheme="majorBidi"/>
      <w:b/>
      <w:sz w:val="32"/>
      <w:szCs w:val="20"/>
      <w:lang w:eastAsia="cs-CZ"/>
    </w:rPr>
  </w:style>
  <w:style w:type="paragraph" w:styleId="Nadpis7">
    <w:name w:val="heading 7"/>
    <w:basedOn w:val="Normln"/>
    <w:next w:val="Normln"/>
    <w:link w:val="Nadpis7Char"/>
    <w:uiPriority w:val="9"/>
    <w:unhideWhenUsed/>
    <w:qFormat/>
    <w:rsid w:val="005100A6"/>
    <w:pPr>
      <w:keepNext/>
      <w:keepLines/>
      <w:numPr>
        <w:ilvl w:val="6"/>
        <w:numId w:val="1"/>
      </w:numPr>
      <w:spacing w:before="40" w:after="0" w:line="360" w:lineRule="auto"/>
      <w:jc w:val="both"/>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
    <w:semiHidden/>
    <w:unhideWhenUsed/>
    <w:qFormat/>
    <w:rsid w:val="005100A6"/>
    <w:pPr>
      <w:keepNext/>
      <w:keepLines/>
      <w:numPr>
        <w:ilvl w:val="7"/>
        <w:numId w:val="1"/>
      </w:numPr>
      <w:spacing w:before="40" w:after="0" w:line="360" w:lineRule="auto"/>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5100A6"/>
    <w:pPr>
      <w:keepNext/>
      <w:keepLines/>
      <w:numPr>
        <w:ilvl w:val="8"/>
        <w:numId w:val="1"/>
      </w:numPr>
      <w:spacing w:before="40" w:after="0" w:line="360" w:lineRule="auto"/>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0A6"/>
    <w:rPr>
      <w:rFonts w:ascii="Times New Roman" w:eastAsiaTheme="majorEastAsia" w:hAnsi="Times New Roman" w:cstheme="majorBidi"/>
      <w:b/>
      <w:color w:val="000000" w:themeColor="text1"/>
      <w:sz w:val="36"/>
      <w:szCs w:val="32"/>
      <w:lang w:eastAsia="cs-CZ"/>
    </w:rPr>
  </w:style>
  <w:style w:type="character" w:customStyle="1" w:styleId="Nadpis2Char">
    <w:name w:val="Nadpis 2 Char"/>
    <w:basedOn w:val="Standardnpsmoodstavce"/>
    <w:link w:val="Nadpis2"/>
    <w:uiPriority w:val="9"/>
    <w:rsid w:val="005100A6"/>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5100A6"/>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rsid w:val="005100A6"/>
    <w:rPr>
      <w:rFonts w:ascii="Times New Roman" w:eastAsiaTheme="majorEastAsia" w:hAnsi="Times New Roman" w:cstheme="majorBidi"/>
      <w:b/>
      <w:iCs/>
      <w:sz w:val="24"/>
      <w:szCs w:val="20"/>
      <w:lang w:eastAsia="cs-CZ"/>
    </w:rPr>
  </w:style>
  <w:style w:type="character" w:customStyle="1" w:styleId="Nadpis5Char">
    <w:name w:val="Nadpis 5 Char"/>
    <w:basedOn w:val="Standardnpsmoodstavce"/>
    <w:link w:val="Nadpis5"/>
    <w:uiPriority w:val="9"/>
    <w:rsid w:val="005100A6"/>
    <w:rPr>
      <w:rFonts w:ascii="Times New Roman" w:eastAsiaTheme="majorEastAsia" w:hAnsi="Times New Roman" w:cstheme="majorBidi"/>
      <w:b/>
      <w:sz w:val="24"/>
      <w:szCs w:val="20"/>
      <w:lang w:eastAsia="cs-CZ"/>
    </w:rPr>
  </w:style>
  <w:style w:type="character" w:customStyle="1" w:styleId="Nadpis6Char">
    <w:name w:val="Nadpis 6 Char"/>
    <w:basedOn w:val="Standardnpsmoodstavce"/>
    <w:link w:val="Nadpis6"/>
    <w:uiPriority w:val="9"/>
    <w:rsid w:val="005100A6"/>
    <w:rPr>
      <w:rFonts w:ascii="Times New Roman" w:eastAsiaTheme="majorEastAsia" w:hAnsi="Times New Roman" w:cstheme="majorBidi"/>
      <w:b/>
      <w:sz w:val="32"/>
      <w:szCs w:val="20"/>
      <w:lang w:eastAsia="cs-CZ"/>
    </w:rPr>
  </w:style>
  <w:style w:type="character" w:customStyle="1" w:styleId="Nadpis7Char">
    <w:name w:val="Nadpis 7 Char"/>
    <w:basedOn w:val="Standardnpsmoodstavce"/>
    <w:link w:val="Nadpis7"/>
    <w:uiPriority w:val="9"/>
    <w:rsid w:val="005100A6"/>
    <w:rPr>
      <w:rFonts w:asciiTheme="majorHAnsi" w:eastAsiaTheme="majorEastAsia" w:hAnsiTheme="majorHAnsi" w:cstheme="majorBidi"/>
      <w:i/>
      <w:iCs/>
      <w:color w:val="243F60" w:themeColor="accent1" w:themeShade="7F"/>
      <w:sz w:val="24"/>
      <w:szCs w:val="20"/>
      <w:lang w:eastAsia="cs-CZ"/>
    </w:rPr>
  </w:style>
  <w:style w:type="character" w:customStyle="1" w:styleId="Nadpis8Char">
    <w:name w:val="Nadpis 8 Char"/>
    <w:basedOn w:val="Standardnpsmoodstavce"/>
    <w:link w:val="Nadpis8"/>
    <w:uiPriority w:val="9"/>
    <w:semiHidden/>
    <w:rsid w:val="005100A6"/>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5100A6"/>
    <w:rPr>
      <w:rFonts w:asciiTheme="majorHAnsi" w:eastAsiaTheme="majorEastAsia" w:hAnsiTheme="majorHAnsi" w:cstheme="majorBidi"/>
      <w:i/>
      <w:iCs/>
      <w:color w:val="272727" w:themeColor="text1" w:themeTint="D8"/>
      <w:sz w:val="21"/>
      <w:szCs w:val="21"/>
      <w:lang w:eastAsia="cs-CZ"/>
    </w:rPr>
  </w:style>
  <w:style w:type="paragraph" w:customStyle="1" w:styleId="Default">
    <w:name w:val="Default"/>
    <w:link w:val="DefaultChar"/>
    <w:rsid w:val="005100A6"/>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51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5100A6"/>
    <w:pPr>
      <w:spacing w:line="240" w:lineRule="auto"/>
      <w:jc w:val="both"/>
    </w:pPr>
    <w:rPr>
      <w:rFonts w:ascii="Times New Roman" w:eastAsia="Times New Roman" w:hAnsi="Times New Roman" w:cs="Times New Roman"/>
      <w:i/>
      <w:iCs/>
      <w:color w:val="1F497D" w:themeColor="text2"/>
      <w:sz w:val="18"/>
      <w:szCs w:val="18"/>
      <w:lang w:eastAsia="cs-CZ"/>
    </w:rPr>
  </w:style>
  <w:style w:type="paragraph" w:customStyle="1" w:styleId="DecimalAligned">
    <w:name w:val="Decimal Aligned"/>
    <w:basedOn w:val="Normln"/>
    <w:uiPriority w:val="40"/>
    <w:qFormat/>
    <w:rsid w:val="005100A6"/>
    <w:pPr>
      <w:tabs>
        <w:tab w:val="decimal" w:pos="360"/>
      </w:tabs>
      <w:jc w:val="both"/>
    </w:pPr>
    <w:rPr>
      <w:rFonts w:ascii="Calibri" w:eastAsia="Times New Roman" w:hAnsi="Calibri" w:cs="Times New Roman"/>
    </w:rPr>
  </w:style>
  <w:style w:type="character" w:customStyle="1" w:styleId="DefaultChar">
    <w:name w:val="Default Char"/>
    <w:link w:val="Default"/>
    <w:rsid w:val="005100A6"/>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11328</Characters>
  <Application>Microsoft Office Word</Application>
  <DocSecurity>0</DocSecurity>
  <Lines>94</Lines>
  <Paragraphs>26</Paragraphs>
  <ScaleCrop>false</ScaleCrop>
  <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Burianová</dc:creator>
  <cp:lastModifiedBy>MAS</cp:lastModifiedBy>
  <cp:revision>2</cp:revision>
  <dcterms:created xsi:type="dcterms:W3CDTF">2019-06-27T09:05:00Z</dcterms:created>
  <dcterms:modified xsi:type="dcterms:W3CDTF">2019-06-27T09:05:00Z</dcterms:modified>
</cp:coreProperties>
</file>