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2F" w:rsidRDefault="00B44D2F" w:rsidP="00B44D2F">
      <w:pPr>
        <w:pStyle w:val="Nadpis3"/>
        <w:numPr>
          <w:ilvl w:val="0"/>
          <w:numId w:val="0"/>
        </w:numPr>
        <w:ind w:left="720" w:hanging="720"/>
      </w:pPr>
      <w:bookmarkStart w:id="0" w:name="_GoBack"/>
      <w:bookmarkStart w:id="1" w:name="_Toc461185718"/>
      <w:bookmarkEnd w:id="0"/>
      <w:r>
        <w:t xml:space="preserve">PS „OBČANSKÁ VYBAVENOST“ – </w:t>
      </w:r>
      <w:r w:rsidRPr="00CA2D50">
        <w:t>výstupy</w:t>
      </w:r>
      <w:bookmarkEnd w:id="1"/>
    </w:p>
    <w:p w:rsidR="00B44D2F" w:rsidRDefault="00B44D2F" w:rsidP="00B44D2F">
      <w:pPr>
        <w:spacing w:line="276" w:lineRule="auto"/>
      </w:pPr>
      <w:r>
        <w:t>Dle výskytu četnosti se v první dvacítce identifikovaných problémů území umístil na 1. místě problém oblasti hromadné dopravy, na 7. místě prostory pro sport a rekreaci, na 8. místě prostory pro společenské a kulturní vyžití, na 11. místě prostory pro spolkový život, na 13. místě zázemí pro provozování vodních sportů, na 17. místě se objevila problematika zásobování území potravinami a na 18. místě problematika mateřských školek.</w:t>
      </w:r>
    </w:p>
    <w:p w:rsidR="00B44D2F" w:rsidRDefault="00B44D2F" w:rsidP="00B44D2F"/>
    <w:p w:rsidR="00B44D2F" w:rsidRPr="00B042B1" w:rsidRDefault="00B44D2F" w:rsidP="00B44D2F">
      <w:pPr>
        <w:pStyle w:val="Titulek"/>
        <w:rPr>
          <w:color w:val="auto"/>
          <w:sz w:val="24"/>
          <w:szCs w:val="24"/>
        </w:rPr>
      </w:pPr>
      <w:bookmarkStart w:id="2" w:name="_Toc445458960"/>
      <w:bookmarkStart w:id="3" w:name="_Toc446407704"/>
      <w:r w:rsidRPr="00B042B1">
        <w:rPr>
          <w:b/>
          <w:color w:val="auto"/>
          <w:sz w:val="24"/>
          <w:szCs w:val="24"/>
        </w:rPr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79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Identifikované problémy území v rámci problémového okruhu „Občanská vybavenost“</w:t>
      </w:r>
      <w:bookmarkEnd w:id="2"/>
      <w:bookmarkEnd w:id="3"/>
    </w:p>
    <w:tbl>
      <w:tblPr>
        <w:tblW w:w="9092" w:type="dxa"/>
        <w:tblCellMar>
          <w:left w:w="70" w:type="dxa"/>
          <w:right w:w="70" w:type="dxa"/>
        </w:tblCellMar>
        <w:tblLook w:val="04A0"/>
      </w:tblPr>
      <w:tblGrid>
        <w:gridCol w:w="2197"/>
        <w:gridCol w:w="2607"/>
        <w:gridCol w:w="2219"/>
        <w:gridCol w:w="2069"/>
      </w:tblGrid>
      <w:tr w:rsidR="00B44D2F" w:rsidRPr="00AA4CE1" w:rsidTr="00AE1C8F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Umístění problému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Kategorie 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 xml:space="preserve">Kategorie 2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A4CE1">
              <w:rPr>
                <w:b/>
                <w:bCs/>
                <w:color w:val="000000"/>
              </w:rPr>
              <w:t>Kategorie 3</w:t>
            </w:r>
          </w:p>
        </w:tc>
      </w:tr>
      <w:tr w:rsidR="00B44D2F" w:rsidRPr="00AA4CE1" w:rsidTr="00AE1C8F">
        <w:trPr>
          <w:trHeight w:val="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1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692257" w:rsidRDefault="00B44D2F" w:rsidP="00AE1C8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92257">
              <w:rPr>
                <w:b/>
                <w:color w:val="000000"/>
              </w:rPr>
              <w:t>občanská vybavenost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hromadná doprava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44D2F" w:rsidRPr="00AA4CE1" w:rsidTr="00AE1C8F">
        <w:trPr>
          <w:trHeight w:val="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7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692257" w:rsidRDefault="00B44D2F" w:rsidP="00AE1C8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92257">
              <w:rPr>
                <w:b/>
                <w:color w:val="000000"/>
              </w:rPr>
              <w:t>občanská vybavenost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sport a rekreace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44D2F" w:rsidRPr="00AA4CE1" w:rsidTr="00AE1C8F">
        <w:trPr>
          <w:trHeight w:val="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8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692257" w:rsidRDefault="00B44D2F" w:rsidP="00AE1C8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92257">
              <w:rPr>
                <w:b/>
                <w:color w:val="000000"/>
              </w:rPr>
              <w:t>občanská vybavenost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společenské a </w:t>
            </w:r>
            <w:r w:rsidRPr="00AA4CE1">
              <w:rPr>
                <w:color w:val="000000"/>
              </w:rPr>
              <w:t>kulturní vyžití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prostory pro společenské a </w:t>
            </w:r>
            <w:r w:rsidRPr="00AA4CE1">
              <w:rPr>
                <w:color w:val="000000"/>
              </w:rPr>
              <w:t>kulturní vyžití</w:t>
            </w:r>
          </w:p>
        </w:tc>
      </w:tr>
      <w:tr w:rsidR="00B44D2F" w:rsidRPr="00AA4CE1" w:rsidTr="00AE1C8F">
        <w:trPr>
          <w:trHeight w:val="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9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692257" w:rsidRDefault="00B44D2F" w:rsidP="00AE1C8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92257">
              <w:rPr>
                <w:b/>
                <w:color w:val="000000"/>
              </w:rPr>
              <w:t>občanská vybavenost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spolková činnost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44D2F" w:rsidRPr="00AA4CE1" w:rsidTr="00AE1C8F">
        <w:trPr>
          <w:trHeight w:val="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11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692257" w:rsidRDefault="00B44D2F" w:rsidP="00AE1C8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92257">
              <w:rPr>
                <w:b/>
                <w:color w:val="000000"/>
              </w:rPr>
              <w:t>občanská vybavenost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vodní sporty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44D2F" w:rsidRPr="00AA4CE1" w:rsidTr="00AE1C8F">
        <w:trPr>
          <w:trHeight w:val="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14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692257" w:rsidRDefault="00B44D2F" w:rsidP="00AE1C8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92257">
              <w:rPr>
                <w:b/>
                <w:color w:val="000000"/>
              </w:rPr>
              <w:t>občanská vybavenost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služby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mateřské školy</w:t>
            </w:r>
          </w:p>
        </w:tc>
      </w:tr>
      <w:tr w:rsidR="00B44D2F" w:rsidRPr="00AA4CE1" w:rsidTr="00AE1C8F">
        <w:trPr>
          <w:trHeight w:val="7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14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692257" w:rsidRDefault="00B44D2F" w:rsidP="00AE1C8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92257">
              <w:rPr>
                <w:b/>
                <w:color w:val="000000"/>
              </w:rPr>
              <w:t>občanská vybavenost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služby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76" w:lineRule="auto"/>
              <w:jc w:val="center"/>
              <w:rPr>
                <w:color w:val="000000"/>
              </w:rPr>
            </w:pPr>
            <w:r w:rsidRPr="00AA4CE1">
              <w:rPr>
                <w:color w:val="000000"/>
              </w:rPr>
              <w:t>zásobování</w:t>
            </w:r>
          </w:p>
        </w:tc>
      </w:tr>
    </w:tbl>
    <w:p w:rsidR="00B44D2F" w:rsidRPr="00BD6FA2" w:rsidRDefault="00B44D2F" w:rsidP="00B44D2F">
      <w:pPr>
        <w:rPr>
          <w:sz w:val="22"/>
        </w:rPr>
      </w:pPr>
      <w:r w:rsidRPr="00BD6FA2">
        <w:rPr>
          <w:sz w:val="22"/>
        </w:rPr>
        <w:t>Zdroj: vlastní šetření</w:t>
      </w:r>
    </w:p>
    <w:p w:rsidR="00B44D2F" w:rsidRDefault="00B44D2F" w:rsidP="00B44D2F"/>
    <w:p w:rsidR="00B44D2F" w:rsidRPr="00D50F1E" w:rsidRDefault="00B44D2F" w:rsidP="00B44D2F">
      <w:pPr>
        <w:pStyle w:val="Odstavecseseznamem"/>
        <w:numPr>
          <w:ilvl w:val="0"/>
          <w:numId w:val="1"/>
        </w:numPr>
        <w:ind w:left="426"/>
        <w:rPr>
          <w:b/>
        </w:rPr>
      </w:pPr>
      <w:r w:rsidRPr="00D50F1E">
        <w:rPr>
          <w:b/>
        </w:rPr>
        <w:t>Schůzka PS „Občanská vybavenost“</w:t>
      </w:r>
    </w:p>
    <w:p w:rsidR="00B44D2F" w:rsidRPr="00D50F1E" w:rsidRDefault="00B44D2F" w:rsidP="00B44D2F">
      <w:pPr>
        <w:rPr>
          <w:b/>
        </w:rPr>
      </w:pPr>
    </w:p>
    <w:p w:rsidR="00B44D2F" w:rsidRDefault="00B44D2F" w:rsidP="00B44D2F">
      <w:r>
        <w:t>Členové PS „Občanská vybavenost“ se k první pracovní schůzce, která se konala 28. května 2014, dostavili do zasedací místnosti OÚ v Chotovinách. Facilitátorem této schůzky byl Ing. Petr Hienl .</w:t>
      </w:r>
    </w:p>
    <w:p w:rsidR="00B44D2F" w:rsidRDefault="00B44D2F" w:rsidP="00B44D2F">
      <w:pPr>
        <w:rPr>
          <w:b/>
          <w:sz w:val="28"/>
          <w:szCs w:val="28"/>
        </w:rPr>
      </w:pPr>
      <w:r>
        <w:t xml:space="preserve">PS se během této první schůzky zaměřila na identifikaci </w:t>
      </w:r>
      <w:r w:rsidRPr="006058A9">
        <w:t>příčin,</w:t>
      </w:r>
      <w:r>
        <w:t xml:space="preserve"> které významně přispívají k vzniku problémů z oblasti občanské vybavenosti, jak byly obyvateli zájmového území určeny. </w:t>
      </w:r>
      <w:r w:rsidRPr="00365184">
        <w:t>A d</w:t>
      </w:r>
      <w:r>
        <w:t>ále se pod vedením facilitátora</w:t>
      </w:r>
      <w:r w:rsidRPr="00365184">
        <w:t xml:space="preserve"> zabývala s využitím metody „brainstormingu“ hledáním možností řešení identifikovaných příčin </w:t>
      </w:r>
      <w:r>
        <w:t>problémů, jak vyplynuly z provedených sehrávek. Dále</w:t>
      </w:r>
      <w:r w:rsidRPr="00365184">
        <w:t xml:space="preserve"> také určením pořadí důležitosti příčin</w:t>
      </w:r>
      <w:r>
        <w:t xml:space="preserve">, které podle pracovní skupiny na vybrané </w:t>
      </w:r>
      <w:r w:rsidRPr="003F4659">
        <w:t>problémy</w:t>
      </w:r>
      <w:r>
        <w:t xml:space="preserve"> působí</w:t>
      </w:r>
      <w:r w:rsidRPr="00365184">
        <w:t>. Pořadí důležitosti příčin problémů, určili účastníci sehrávky tak, že každý mohl</w:t>
      </w:r>
      <w:r>
        <w:t xml:space="preserve"> přidělit vždy tři preferenční body třem, dle jeho soudu, nejdůležitějším příčinám. Podle toho, kolik bylo té či oné příčině přiděleno členy PS celkových bodů, bylo provedeno sestupné řazení od příčin.</w:t>
      </w:r>
      <w:r>
        <w:rPr>
          <w:b/>
          <w:sz w:val="28"/>
          <w:szCs w:val="28"/>
        </w:rPr>
        <w:br w:type="page"/>
      </w:r>
    </w:p>
    <w:p w:rsidR="00B44D2F" w:rsidRPr="00B042B1" w:rsidRDefault="00B44D2F" w:rsidP="00B44D2F">
      <w:pPr>
        <w:pStyle w:val="Titulek"/>
        <w:rPr>
          <w:color w:val="auto"/>
          <w:sz w:val="24"/>
          <w:szCs w:val="24"/>
        </w:rPr>
      </w:pPr>
      <w:bookmarkStart w:id="4" w:name="_Toc445458961"/>
      <w:bookmarkStart w:id="5" w:name="_Toc446407705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80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color w:val="auto"/>
          <w:sz w:val="24"/>
          <w:szCs w:val="24"/>
        </w:rPr>
        <w:t>: Identifikace příčin analyzovaného problému „hromadná doprava“</w:t>
      </w:r>
      <w:r>
        <w:rPr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a návrhy řešení</w:t>
      </w:r>
      <w:bookmarkEnd w:id="4"/>
      <w:bookmarkEnd w:id="5"/>
    </w:p>
    <w:tbl>
      <w:tblPr>
        <w:tblpPr w:leftFromText="142" w:rightFromText="142" w:vertAnchor="text" w:horzAnchor="margin" w:tblpY="91"/>
        <w:tblOverlap w:val="never"/>
        <w:tblW w:w="9709" w:type="dxa"/>
        <w:tblCellMar>
          <w:left w:w="70" w:type="dxa"/>
          <w:right w:w="70" w:type="dxa"/>
        </w:tblCellMar>
        <w:tblLook w:val="04A0"/>
      </w:tblPr>
      <w:tblGrid>
        <w:gridCol w:w="4092"/>
        <w:gridCol w:w="4058"/>
        <w:gridCol w:w="1559"/>
      </w:tblGrid>
      <w:tr w:rsidR="00B44D2F" w:rsidRPr="00974600" w:rsidTr="00AE1C8F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Problém č. 1 </w:t>
            </w:r>
            <w:r w:rsidRPr="003874D3">
              <w:rPr>
                <w:b/>
                <w:color w:val="000000"/>
                <w:sz w:val="26"/>
                <w:szCs w:val="26"/>
              </w:rPr>
              <w:t>„Hromadná doprava“</w:t>
            </w:r>
          </w:p>
        </w:tc>
      </w:tr>
      <w:tr w:rsidR="00B44D2F" w:rsidRPr="00974600" w:rsidTr="00AE1C8F">
        <w:trPr>
          <w:trHeight w:val="204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C732A">
              <w:rPr>
                <w:b/>
                <w:bCs/>
                <w:color w:val="000000"/>
                <w:szCs w:val="24"/>
              </w:rPr>
              <w:t>Příčiny problému</w:t>
            </w:r>
            <w:r w:rsidRPr="00AD7364">
              <w:rPr>
                <w:b/>
                <w:bCs/>
                <w:color w:val="000000"/>
                <w:szCs w:val="24"/>
              </w:rPr>
              <w:t xml:space="preserve"> identifikované PS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D7364">
              <w:rPr>
                <w:b/>
                <w:bCs/>
                <w:color w:val="000000"/>
                <w:szCs w:val="24"/>
              </w:rPr>
              <w:t>Možnosti řešení příčiny problému navržené 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2F" w:rsidRPr="00AD7364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AD7364">
              <w:rPr>
                <w:b/>
                <w:bCs/>
                <w:color w:val="000000"/>
                <w:szCs w:val="24"/>
              </w:rPr>
              <w:t>Pořadí důležitosti určené PS</w:t>
            </w:r>
          </w:p>
        </w:tc>
      </w:tr>
      <w:tr w:rsidR="00B44D2F" w:rsidRPr="00974600" w:rsidTr="00AE1C8F">
        <w:trPr>
          <w:trHeight w:val="20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5. Ministerstvo neřídí spolupráci vlakové a autobusové dopravy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5. Tlak na to, že hromadná doprava je služba a ne byznys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CC732A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CC732A">
              <w:rPr>
                <w:bCs/>
                <w:color w:val="000000"/>
                <w:szCs w:val="24"/>
              </w:rPr>
              <w:t>1</w:t>
            </w:r>
          </w:p>
        </w:tc>
      </w:tr>
      <w:tr w:rsidR="00B44D2F" w:rsidRPr="00974600" w:rsidTr="00AE1C8F">
        <w:trPr>
          <w:trHeight w:val="28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Nedohoda mezi autobusovou a </w:t>
            </w:r>
            <w:r w:rsidRPr="00AD7364">
              <w:rPr>
                <w:color w:val="000000"/>
                <w:szCs w:val="24"/>
              </w:rPr>
              <w:t>vlakovou dopravou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1. Dohoda mezi subjekty, podmínit dotace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CC732A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CC732A">
              <w:rPr>
                <w:bCs/>
                <w:color w:val="000000"/>
                <w:szCs w:val="24"/>
              </w:rPr>
              <w:t>2</w:t>
            </w:r>
          </w:p>
        </w:tc>
      </w:tr>
      <w:tr w:rsidR="00B44D2F" w:rsidRPr="00974600" w:rsidTr="00AE1C8F">
        <w:trPr>
          <w:trHeight w:val="7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8. Sdružování služeb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CC732A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CC732A">
              <w:rPr>
                <w:bCs/>
                <w:color w:val="000000"/>
                <w:szCs w:val="24"/>
              </w:rPr>
              <w:t>2</w:t>
            </w:r>
          </w:p>
        </w:tc>
      </w:tr>
      <w:tr w:rsidR="00B44D2F" w:rsidRPr="00974600" w:rsidTr="00AE1C8F">
        <w:trPr>
          <w:trHeight w:val="70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2. Vlaková doprava nefunguje jako páteřní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2. Zařídit, aby vlaky nedublovaly autobusovou dopravu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CC732A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CC732A">
              <w:rPr>
                <w:bCs/>
                <w:color w:val="000000"/>
                <w:szCs w:val="24"/>
              </w:rPr>
              <w:t>3</w:t>
            </w:r>
          </w:p>
        </w:tc>
      </w:tr>
      <w:tr w:rsidR="00B44D2F" w:rsidRPr="00974600" w:rsidTr="00AE1C8F">
        <w:trPr>
          <w:trHeight w:val="218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3. Není doprava napříč mikroregionem (za prací a nejen za ní)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3. Zřídit dopravu napříč regionem (Toulava - tlak na ekologii, propojenost)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CC732A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CC732A">
              <w:rPr>
                <w:bCs/>
                <w:color w:val="000000"/>
                <w:szCs w:val="24"/>
              </w:rPr>
              <w:t>3</w:t>
            </w:r>
          </w:p>
        </w:tc>
      </w:tr>
      <w:tr w:rsidR="00B44D2F" w:rsidRPr="00974600" w:rsidTr="00AE1C8F">
        <w:trPr>
          <w:trHeight w:val="101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6. Chybí univerzální vstupenka pro všechny druhy dopravy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CC732A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CC732A">
              <w:rPr>
                <w:bCs/>
                <w:color w:val="000000"/>
                <w:szCs w:val="24"/>
              </w:rPr>
              <w:t>4</w:t>
            </w:r>
          </w:p>
        </w:tc>
      </w:tr>
      <w:tr w:rsidR="00B44D2F" w:rsidRPr="00974600" w:rsidTr="00AE1C8F">
        <w:trPr>
          <w:trHeight w:val="578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4. Nekompetentnost plánovačů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4. Tlak na to, že hromadná doprava je služba a ne byznys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CC732A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CC732A">
              <w:rPr>
                <w:bCs/>
                <w:color w:val="000000"/>
                <w:szCs w:val="24"/>
              </w:rPr>
              <w:t>5</w:t>
            </w:r>
          </w:p>
        </w:tc>
      </w:tr>
      <w:tr w:rsidR="00B44D2F" w:rsidRPr="00974600" w:rsidTr="00AE1C8F">
        <w:trPr>
          <w:trHeight w:val="296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7. Chybí páteřní autobusová doprava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CC732A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CC732A">
              <w:rPr>
                <w:bCs/>
                <w:color w:val="000000"/>
                <w:szCs w:val="24"/>
              </w:rPr>
              <w:t>5</w:t>
            </w:r>
          </w:p>
        </w:tc>
      </w:tr>
      <w:tr w:rsidR="00B44D2F" w:rsidRPr="00974600" w:rsidTr="00AE1C8F">
        <w:trPr>
          <w:trHeight w:val="621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9. Chybí jiné druhy dopravy než jen autobusová a železniční doprava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AD7364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D7364">
              <w:rPr>
                <w:color w:val="000000"/>
                <w:szCs w:val="24"/>
              </w:rPr>
              <w:t>9. Sdílení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CC732A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CC732A">
              <w:rPr>
                <w:bCs/>
                <w:color w:val="000000"/>
                <w:szCs w:val="24"/>
              </w:rPr>
              <w:t>5</w:t>
            </w:r>
          </w:p>
        </w:tc>
      </w:tr>
    </w:tbl>
    <w:p w:rsidR="00B44D2F" w:rsidRPr="00BD6FA2" w:rsidRDefault="00B44D2F" w:rsidP="00B44D2F">
      <w:pPr>
        <w:rPr>
          <w:sz w:val="22"/>
        </w:rPr>
      </w:pPr>
      <w:r w:rsidRPr="00BD6FA2">
        <w:rPr>
          <w:sz w:val="22"/>
        </w:rPr>
        <w:t>Zdroj: PS „Občanská vybavenost“, 10.</w:t>
      </w:r>
      <w:r>
        <w:rPr>
          <w:sz w:val="22"/>
        </w:rPr>
        <w:t xml:space="preserve"> </w:t>
      </w:r>
      <w:r w:rsidRPr="00BD6FA2">
        <w:rPr>
          <w:sz w:val="22"/>
        </w:rPr>
        <w:t>6.</w:t>
      </w:r>
      <w:r>
        <w:rPr>
          <w:sz w:val="22"/>
        </w:rPr>
        <w:t xml:space="preserve"> </w:t>
      </w:r>
      <w:r w:rsidRPr="00BD6FA2">
        <w:rPr>
          <w:sz w:val="22"/>
        </w:rPr>
        <w:t>2014</w:t>
      </w:r>
    </w:p>
    <w:p w:rsidR="00B44D2F" w:rsidRDefault="00B44D2F" w:rsidP="00B44D2F"/>
    <w:p w:rsidR="00B44D2F" w:rsidRPr="00B042B1" w:rsidRDefault="00B44D2F" w:rsidP="00B44D2F">
      <w:pPr>
        <w:pStyle w:val="Titulek"/>
        <w:spacing w:after="0"/>
        <w:rPr>
          <w:color w:val="auto"/>
          <w:sz w:val="24"/>
          <w:szCs w:val="24"/>
        </w:rPr>
      </w:pPr>
      <w:bookmarkStart w:id="6" w:name="_Toc445458962"/>
      <w:bookmarkStart w:id="7" w:name="_Toc446407706"/>
      <w:r w:rsidRPr="00B042B1">
        <w:rPr>
          <w:b/>
          <w:color w:val="auto"/>
          <w:sz w:val="24"/>
          <w:szCs w:val="24"/>
        </w:rPr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81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Identifikace příčin analyzovaného problému „vodní sporty“</w:t>
      </w:r>
      <w:r>
        <w:rPr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a návrhy řešení</w:t>
      </w:r>
      <w:bookmarkEnd w:id="6"/>
      <w:bookmarkEnd w:id="7"/>
    </w:p>
    <w:tbl>
      <w:tblPr>
        <w:tblpPr w:leftFromText="142" w:rightFromText="142" w:vertAnchor="text" w:horzAnchor="margin" w:tblpY="107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4157"/>
        <w:gridCol w:w="1513"/>
      </w:tblGrid>
      <w:tr w:rsidR="00B44D2F" w:rsidRPr="00974600" w:rsidTr="00AE1C8F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Problém č. 2</w:t>
            </w:r>
            <w:r w:rsidRPr="00CC732A">
              <w:rPr>
                <w:b/>
                <w:color w:val="000000"/>
                <w:sz w:val="26"/>
                <w:szCs w:val="26"/>
              </w:rPr>
              <w:t xml:space="preserve"> „Sport a rekreace, vodní sporty“</w:t>
            </w:r>
          </w:p>
        </w:tc>
      </w:tr>
      <w:tr w:rsidR="00B44D2F" w:rsidRPr="00974600" w:rsidTr="00AE1C8F">
        <w:trPr>
          <w:trHeight w:val="512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0330C">
              <w:rPr>
                <w:b/>
                <w:bCs/>
                <w:color w:val="000000"/>
                <w:szCs w:val="24"/>
              </w:rPr>
              <w:t>Příčiny problému identifikované PS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0330C">
              <w:rPr>
                <w:b/>
                <w:bCs/>
                <w:color w:val="000000"/>
                <w:szCs w:val="24"/>
              </w:rPr>
              <w:t>Možnosti řešení příčiny problému navržené PS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0330C">
              <w:rPr>
                <w:b/>
                <w:bCs/>
                <w:color w:val="000000"/>
                <w:szCs w:val="24"/>
              </w:rPr>
              <w:t>Pořadí důležitosti určené PS</w:t>
            </w:r>
          </w:p>
        </w:tc>
      </w:tr>
      <w:tr w:rsidR="00B44D2F" w:rsidRPr="00974600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2. Síla rybářské lobby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0330C">
              <w:rPr>
                <w:bCs/>
                <w:color w:val="000000"/>
                <w:szCs w:val="24"/>
              </w:rPr>
              <w:t>1</w:t>
            </w:r>
          </w:p>
        </w:tc>
      </w:tr>
      <w:tr w:rsidR="00B44D2F" w:rsidRPr="00974600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3. Negativní zkušenosti s chovnými rybníky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0330C">
              <w:rPr>
                <w:bCs/>
                <w:color w:val="000000"/>
                <w:szCs w:val="24"/>
              </w:rPr>
              <w:t>1</w:t>
            </w:r>
          </w:p>
        </w:tc>
      </w:tr>
      <w:tr w:rsidR="00B44D2F" w:rsidRPr="00974600" w:rsidTr="00AE1C8F">
        <w:trPr>
          <w:trHeight w:val="366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8. Nepoko</w:t>
            </w:r>
            <w:r>
              <w:rPr>
                <w:color w:val="000000"/>
                <w:szCs w:val="24"/>
              </w:rPr>
              <w:t>uší se hledat cesty k diskuzi o </w:t>
            </w:r>
            <w:r w:rsidRPr="00974600">
              <w:rPr>
                <w:color w:val="000000"/>
                <w:szCs w:val="24"/>
              </w:rPr>
              <w:t>hledání zájmů obyvatel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8. Hledat cesty k diskuzi o hledání zájmů obyvatel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0330C">
              <w:rPr>
                <w:bCs/>
                <w:color w:val="000000"/>
                <w:szCs w:val="24"/>
              </w:rPr>
              <w:t>1</w:t>
            </w:r>
          </w:p>
        </w:tc>
      </w:tr>
      <w:tr w:rsidR="00B44D2F" w:rsidRPr="00974600" w:rsidTr="00AE1C8F">
        <w:trPr>
          <w:trHeight w:val="9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9. Nedostatek kvalitního koupání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0330C">
              <w:rPr>
                <w:bCs/>
                <w:color w:val="000000"/>
                <w:szCs w:val="24"/>
              </w:rPr>
              <w:t>1</w:t>
            </w:r>
          </w:p>
        </w:tc>
      </w:tr>
      <w:tr w:rsidR="00B44D2F" w:rsidRPr="00974600" w:rsidTr="00AE1C8F">
        <w:trPr>
          <w:trHeight w:val="94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7. Nejsou dostatečně využívány obecní informační systémy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7. Hledat nové možnosti využití sportovišť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0330C">
              <w:rPr>
                <w:bCs/>
                <w:color w:val="000000"/>
                <w:szCs w:val="24"/>
              </w:rPr>
              <w:t>2</w:t>
            </w:r>
          </w:p>
        </w:tc>
      </w:tr>
      <w:tr w:rsidR="00B44D2F" w:rsidRPr="00974600" w:rsidTr="00AE1C8F">
        <w:trPr>
          <w:trHeight w:val="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4. Slabé využití sportovišť - nefunguje hromadná doprava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4. Zlepšit hromadnou dopravu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0330C">
              <w:rPr>
                <w:bCs/>
                <w:color w:val="000000"/>
                <w:szCs w:val="24"/>
              </w:rPr>
              <w:t>3</w:t>
            </w:r>
          </w:p>
        </w:tc>
      </w:tr>
      <w:tr w:rsidR="00B44D2F" w:rsidRPr="00974600" w:rsidTr="00AE1C8F">
        <w:trPr>
          <w:trHeight w:val="7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5. Chybí sportovní učitelé a trenéři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5. Získat a zaplatit trenéry a učitele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0330C">
              <w:rPr>
                <w:bCs/>
                <w:color w:val="000000"/>
                <w:szCs w:val="24"/>
              </w:rPr>
              <w:t>3</w:t>
            </w:r>
          </w:p>
        </w:tc>
      </w:tr>
      <w:tr w:rsidR="00B44D2F" w:rsidRPr="00974600" w:rsidTr="00AE1C8F">
        <w:trPr>
          <w:trHeight w:val="101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6. Žáci nemohou navštěvovat kroužky ve školách, ve kterých nejsou zapsáni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6. Komunikace se školou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0330C">
              <w:rPr>
                <w:bCs/>
                <w:color w:val="000000"/>
                <w:szCs w:val="24"/>
              </w:rPr>
              <w:t>3</w:t>
            </w:r>
          </w:p>
        </w:tc>
      </w:tr>
      <w:tr w:rsidR="00B44D2F" w:rsidRPr="00974600" w:rsidTr="00AE1C8F">
        <w:trPr>
          <w:trHeight w:val="52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>1. Odtažitost od přírody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974600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974600">
              <w:rPr>
                <w:color w:val="000000"/>
                <w:szCs w:val="24"/>
              </w:rPr>
              <w:t xml:space="preserve">1. Pravidelné rozbory vody, extenzivní hospodaření (rybář.), finanční gramotnost </w:t>
            </w:r>
            <w:r w:rsidRPr="00974600">
              <w:rPr>
                <w:color w:val="000000"/>
                <w:szCs w:val="24"/>
              </w:rPr>
              <w:lastRenderedPageBreak/>
              <w:t>- bazény na zahradách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0330C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0330C">
              <w:rPr>
                <w:bCs/>
                <w:color w:val="000000"/>
                <w:szCs w:val="24"/>
              </w:rPr>
              <w:lastRenderedPageBreak/>
              <w:t>3</w:t>
            </w:r>
          </w:p>
        </w:tc>
      </w:tr>
    </w:tbl>
    <w:p w:rsidR="00B44D2F" w:rsidRPr="00436040" w:rsidRDefault="00B44D2F" w:rsidP="00B44D2F">
      <w:pPr>
        <w:rPr>
          <w:sz w:val="22"/>
        </w:rPr>
      </w:pPr>
      <w:r w:rsidRPr="00BD6FA2">
        <w:rPr>
          <w:sz w:val="22"/>
        </w:rPr>
        <w:lastRenderedPageBreak/>
        <w:t>Zdroj: PS „Občanská vybavenost“, 10.</w:t>
      </w:r>
      <w:r>
        <w:rPr>
          <w:sz w:val="22"/>
        </w:rPr>
        <w:t xml:space="preserve"> </w:t>
      </w:r>
      <w:r w:rsidRPr="00BD6FA2">
        <w:rPr>
          <w:sz w:val="22"/>
        </w:rPr>
        <w:t>6.</w:t>
      </w:r>
      <w:r>
        <w:rPr>
          <w:sz w:val="22"/>
        </w:rPr>
        <w:t xml:space="preserve"> </w:t>
      </w:r>
      <w:r w:rsidRPr="00BD6FA2">
        <w:rPr>
          <w:sz w:val="22"/>
        </w:rPr>
        <w:t>2014</w:t>
      </w:r>
    </w:p>
    <w:p w:rsidR="00B44D2F" w:rsidRPr="00B042B1" w:rsidRDefault="00B44D2F" w:rsidP="00B44D2F">
      <w:pPr>
        <w:pStyle w:val="Titulek"/>
        <w:spacing w:after="0"/>
        <w:rPr>
          <w:color w:val="auto"/>
          <w:sz w:val="24"/>
          <w:szCs w:val="24"/>
        </w:rPr>
      </w:pPr>
      <w:bookmarkStart w:id="8" w:name="_Toc445458963"/>
      <w:bookmarkStart w:id="9" w:name="_Toc446407707"/>
      <w:r w:rsidRPr="00B042B1">
        <w:rPr>
          <w:b/>
          <w:color w:val="auto"/>
          <w:sz w:val="24"/>
          <w:szCs w:val="24"/>
        </w:rPr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82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Identifikace příčin analyzovaného problému „prostory pro společenské a kulturní vyžití“</w:t>
      </w:r>
      <w:r>
        <w:rPr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a návrhy řešení</w:t>
      </w:r>
      <w:bookmarkEnd w:id="8"/>
      <w:bookmarkEnd w:id="9"/>
    </w:p>
    <w:tbl>
      <w:tblPr>
        <w:tblpPr w:leftFromText="142" w:rightFromText="142" w:vertAnchor="text" w:horzAnchor="margin" w:tblpY="148"/>
        <w:tblOverlap w:val="never"/>
        <w:tblW w:w="9709" w:type="dxa"/>
        <w:tblCellMar>
          <w:left w:w="70" w:type="dxa"/>
          <w:right w:w="70" w:type="dxa"/>
        </w:tblCellMar>
        <w:tblLook w:val="04A0"/>
      </w:tblPr>
      <w:tblGrid>
        <w:gridCol w:w="4039"/>
        <w:gridCol w:w="4200"/>
        <w:gridCol w:w="1470"/>
      </w:tblGrid>
      <w:tr w:rsidR="00B44D2F" w:rsidRPr="00197FDF" w:rsidTr="00AE1C8F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040">
              <w:rPr>
                <w:b/>
                <w:color w:val="000000"/>
                <w:sz w:val="26"/>
                <w:szCs w:val="26"/>
              </w:rPr>
              <w:t>Problém č. 3 „Prostory pro společenské a kulturní vyžití“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36040">
              <w:rPr>
                <w:b/>
                <w:bCs/>
                <w:color w:val="000000"/>
                <w:szCs w:val="24"/>
              </w:rPr>
              <w:t>Příčiny problému identifikované</w:t>
            </w:r>
            <w:r>
              <w:rPr>
                <w:b/>
                <w:bCs/>
                <w:color w:val="000000"/>
                <w:szCs w:val="24"/>
              </w:rPr>
              <w:t xml:space="preserve"> PS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87248">
              <w:rPr>
                <w:b/>
                <w:bCs/>
                <w:color w:val="000000"/>
                <w:szCs w:val="24"/>
              </w:rPr>
              <w:t>Možnosti řešení</w:t>
            </w:r>
            <w:r>
              <w:rPr>
                <w:b/>
                <w:bCs/>
                <w:color w:val="000000"/>
                <w:szCs w:val="24"/>
              </w:rPr>
              <w:t xml:space="preserve"> příčiny problému navržené PS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87248">
              <w:rPr>
                <w:b/>
                <w:bCs/>
                <w:color w:val="000000"/>
                <w:szCs w:val="24"/>
              </w:rPr>
              <w:t>Pořadí důležitosti</w:t>
            </w:r>
            <w:r>
              <w:rPr>
                <w:b/>
                <w:bCs/>
                <w:color w:val="000000"/>
                <w:szCs w:val="24"/>
              </w:rPr>
              <w:t xml:space="preserve"> určené PS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2F" w:rsidRPr="00197FDF" w:rsidRDefault="00B44D2F" w:rsidP="00AE1C8F">
            <w:pPr>
              <w:spacing w:line="240" w:lineRule="auto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2. Chybí obecní granty malého rozsahu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2F" w:rsidRPr="00197FDF" w:rsidRDefault="00B44D2F" w:rsidP="00D50617">
            <w:pPr>
              <w:spacing w:line="240" w:lineRule="auto"/>
              <w:ind w:firstLineChars="100" w:firstLine="240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436040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436040">
              <w:rPr>
                <w:bCs/>
                <w:color w:val="000000"/>
                <w:szCs w:val="24"/>
              </w:rPr>
              <w:t>1</w:t>
            </w:r>
          </w:p>
        </w:tc>
      </w:tr>
      <w:tr w:rsidR="00B44D2F" w:rsidRPr="00197FDF" w:rsidTr="00AE1C8F">
        <w:trPr>
          <w:trHeight w:val="6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2F" w:rsidRPr="00197FDF" w:rsidRDefault="00B44D2F" w:rsidP="00AE1C8F">
            <w:pPr>
              <w:spacing w:line="240" w:lineRule="auto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4. Chybí informovanost o možnosti užití prostor včetně informovanosti o režii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2F" w:rsidRPr="00197FDF" w:rsidRDefault="00B44D2F" w:rsidP="00D50617">
            <w:pPr>
              <w:spacing w:line="240" w:lineRule="auto"/>
              <w:ind w:firstLineChars="100" w:firstLine="240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436040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436040">
              <w:rPr>
                <w:bCs/>
                <w:color w:val="000000"/>
                <w:szCs w:val="24"/>
              </w:rPr>
              <w:t>2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2F" w:rsidRPr="00197FDF" w:rsidRDefault="00B44D2F" w:rsidP="00AE1C8F">
            <w:pPr>
              <w:spacing w:line="240" w:lineRule="auto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3. Chybí nekuřácké prostory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2F" w:rsidRPr="00197FDF" w:rsidRDefault="00B44D2F" w:rsidP="00D50617">
            <w:pPr>
              <w:spacing w:line="240" w:lineRule="auto"/>
              <w:ind w:firstLineChars="100" w:firstLine="240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436040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436040">
              <w:rPr>
                <w:bCs/>
                <w:color w:val="000000"/>
                <w:szCs w:val="24"/>
              </w:rPr>
              <w:t>3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2F" w:rsidRPr="00197FDF" w:rsidRDefault="00B44D2F" w:rsidP="00AE1C8F">
            <w:pPr>
              <w:spacing w:line="240" w:lineRule="auto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1. Chybí klubovny s činností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D2F" w:rsidRPr="00197FDF" w:rsidRDefault="00B44D2F" w:rsidP="00D50617">
            <w:pPr>
              <w:spacing w:line="240" w:lineRule="auto"/>
              <w:ind w:firstLineChars="100" w:firstLine="240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436040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436040">
              <w:rPr>
                <w:bCs/>
                <w:color w:val="000000"/>
                <w:szCs w:val="24"/>
              </w:rPr>
              <w:t>4</w:t>
            </w:r>
          </w:p>
        </w:tc>
      </w:tr>
    </w:tbl>
    <w:p w:rsidR="00B44D2F" w:rsidRPr="00BD6FA2" w:rsidRDefault="00B44D2F" w:rsidP="00B44D2F">
      <w:pPr>
        <w:rPr>
          <w:sz w:val="22"/>
          <w:szCs w:val="24"/>
        </w:rPr>
      </w:pPr>
      <w:r w:rsidRPr="00BD6FA2">
        <w:rPr>
          <w:sz w:val="22"/>
          <w:szCs w:val="24"/>
        </w:rPr>
        <w:t>Zdroj: PS „Občanská vybavenost“, 10.</w:t>
      </w:r>
      <w:r>
        <w:rPr>
          <w:sz w:val="22"/>
          <w:szCs w:val="24"/>
        </w:rPr>
        <w:t xml:space="preserve"> </w:t>
      </w:r>
      <w:r w:rsidRPr="00BD6FA2">
        <w:rPr>
          <w:sz w:val="22"/>
          <w:szCs w:val="24"/>
        </w:rPr>
        <w:t>6. 2014</w:t>
      </w:r>
    </w:p>
    <w:p w:rsidR="00B44D2F" w:rsidRDefault="00B44D2F" w:rsidP="00B44D2F">
      <w:pPr>
        <w:rPr>
          <w:szCs w:val="24"/>
        </w:rPr>
      </w:pPr>
    </w:p>
    <w:p w:rsidR="00B44D2F" w:rsidRPr="00B042B1" w:rsidRDefault="00B44D2F" w:rsidP="00B44D2F">
      <w:pPr>
        <w:pStyle w:val="Titulek"/>
        <w:spacing w:after="0"/>
        <w:rPr>
          <w:color w:val="auto"/>
          <w:sz w:val="24"/>
          <w:szCs w:val="24"/>
        </w:rPr>
      </w:pPr>
      <w:bookmarkStart w:id="10" w:name="_Toc445458964"/>
      <w:bookmarkStart w:id="11" w:name="_Toc446407708"/>
      <w:r w:rsidRPr="00B042B1">
        <w:rPr>
          <w:b/>
          <w:color w:val="auto"/>
          <w:sz w:val="24"/>
          <w:szCs w:val="24"/>
        </w:rPr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83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color w:val="auto"/>
          <w:sz w:val="24"/>
          <w:szCs w:val="24"/>
        </w:rPr>
        <w:t>: Identifikace příčin analyzovaného problému „spolková činnost“</w:t>
      </w:r>
      <w:r>
        <w:rPr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a návrhy řešení</w:t>
      </w:r>
      <w:bookmarkEnd w:id="10"/>
      <w:bookmarkEnd w:id="11"/>
    </w:p>
    <w:tbl>
      <w:tblPr>
        <w:tblpPr w:leftFromText="142" w:rightFromText="142" w:vertAnchor="text" w:horzAnchor="margin" w:tblpX="-2" w:tblpY="1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4253"/>
        <w:gridCol w:w="1417"/>
      </w:tblGrid>
      <w:tr w:rsidR="00B44D2F" w:rsidRPr="00197FDF" w:rsidTr="00AE1C8F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Problém č. 4 </w:t>
            </w:r>
            <w:r w:rsidRPr="00436040">
              <w:rPr>
                <w:b/>
                <w:color w:val="000000"/>
                <w:sz w:val="26"/>
                <w:szCs w:val="26"/>
              </w:rPr>
              <w:t>„Spolková činnost“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36040">
              <w:rPr>
                <w:b/>
                <w:bCs/>
                <w:color w:val="000000"/>
                <w:szCs w:val="24"/>
              </w:rPr>
              <w:t>Příčiny problému identifikované</w:t>
            </w:r>
            <w:r>
              <w:rPr>
                <w:b/>
                <w:bCs/>
                <w:color w:val="000000"/>
                <w:szCs w:val="24"/>
              </w:rPr>
              <w:t xml:space="preserve"> PS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87248">
              <w:rPr>
                <w:b/>
                <w:bCs/>
                <w:color w:val="000000"/>
                <w:szCs w:val="24"/>
              </w:rPr>
              <w:t>Možnosti řešení</w:t>
            </w:r>
            <w:r>
              <w:rPr>
                <w:b/>
                <w:bCs/>
                <w:color w:val="000000"/>
                <w:szCs w:val="24"/>
              </w:rPr>
              <w:t xml:space="preserve"> příčiny problému navržené 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87248">
              <w:rPr>
                <w:b/>
                <w:bCs/>
                <w:color w:val="000000"/>
                <w:szCs w:val="24"/>
              </w:rPr>
              <w:t>Pořadí důležitosti</w:t>
            </w:r>
            <w:r>
              <w:rPr>
                <w:b/>
                <w:bCs/>
                <w:color w:val="000000"/>
                <w:szCs w:val="24"/>
              </w:rPr>
              <w:t xml:space="preserve"> určené PS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 xml:space="preserve">5. Nejsou stanovené podmínky spolupráce spolků a obcí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5. Kontrola hospodárnosti spolků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436040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436040">
              <w:rPr>
                <w:bCs/>
                <w:color w:val="000000"/>
                <w:szCs w:val="24"/>
              </w:rPr>
              <w:t>1</w:t>
            </w:r>
          </w:p>
        </w:tc>
      </w:tr>
      <w:tr w:rsidR="00B44D2F" w:rsidRPr="00197FDF" w:rsidTr="00AE1C8F">
        <w:trPr>
          <w:trHeight w:val="6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4. Spolky mnohdy nevytváří vhodné prostředí pro výchovu mládeže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436040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436040">
              <w:rPr>
                <w:bCs/>
                <w:color w:val="000000"/>
                <w:szCs w:val="24"/>
              </w:rPr>
              <w:t>2</w:t>
            </w:r>
          </w:p>
        </w:tc>
      </w:tr>
      <w:tr w:rsidR="00B44D2F" w:rsidRPr="00197FDF" w:rsidTr="00AE1C8F">
        <w:trPr>
          <w:trHeight w:val="6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Nedo</w:t>
            </w:r>
            <w:r w:rsidRPr="00197FDF">
              <w:rPr>
                <w:color w:val="000000"/>
                <w:szCs w:val="24"/>
              </w:rPr>
              <w:t>statek podnětů a lead</w:t>
            </w:r>
            <w:r>
              <w:rPr>
                <w:color w:val="000000"/>
                <w:szCs w:val="24"/>
              </w:rPr>
              <w:t>e</w:t>
            </w:r>
            <w:r w:rsidRPr="00197FDF">
              <w:rPr>
                <w:color w:val="000000"/>
                <w:szCs w:val="24"/>
              </w:rPr>
              <w:t>rů, vyhasínání lead</w:t>
            </w:r>
            <w:r>
              <w:rPr>
                <w:color w:val="000000"/>
                <w:szCs w:val="24"/>
              </w:rPr>
              <w:t>e</w:t>
            </w:r>
            <w:r w:rsidRPr="00197FDF">
              <w:rPr>
                <w:color w:val="000000"/>
                <w:szCs w:val="24"/>
              </w:rPr>
              <w:t>rů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1. Velké akce</w:t>
            </w:r>
            <w:r>
              <w:rPr>
                <w:color w:val="000000"/>
                <w:szCs w:val="24"/>
              </w:rPr>
              <w:t xml:space="preserve"> </w:t>
            </w:r>
            <w:r w:rsidRPr="00197FDF">
              <w:rPr>
                <w:color w:val="000000"/>
                <w:szCs w:val="24"/>
              </w:rPr>
              <w:t>- viz zahradnická akce v Chotovinách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436040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436040">
              <w:rPr>
                <w:bCs/>
                <w:color w:val="000000"/>
                <w:szCs w:val="24"/>
              </w:rPr>
              <w:t>3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2. Politizace spolků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436040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436040">
              <w:rPr>
                <w:bCs/>
                <w:color w:val="000000"/>
                <w:szCs w:val="24"/>
              </w:rPr>
              <w:t>3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 Nedo</w:t>
            </w:r>
            <w:r w:rsidRPr="00197FDF">
              <w:rPr>
                <w:color w:val="000000"/>
                <w:szCs w:val="24"/>
              </w:rPr>
              <w:t>statečné zapojení dětí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436040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436040">
              <w:rPr>
                <w:bCs/>
                <w:color w:val="000000"/>
                <w:szCs w:val="24"/>
              </w:rPr>
              <w:t>4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6. Zásobování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436040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436040">
              <w:rPr>
                <w:bCs/>
                <w:color w:val="000000"/>
                <w:szCs w:val="24"/>
              </w:rPr>
              <w:t>4</w:t>
            </w:r>
          </w:p>
        </w:tc>
      </w:tr>
    </w:tbl>
    <w:p w:rsidR="00B44D2F" w:rsidRPr="00BD6FA2" w:rsidRDefault="00B44D2F" w:rsidP="00B44D2F">
      <w:pPr>
        <w:rPr>
          <w:sz w:val="22"/>
          <w:szCs w:val="24"/>
        </w:rPr>
      </w:pPr>
      <w:r w:rsidRPr="00BD6FA2">
        <w:rPr>
          <w:sz w:val="22"/>
          <w:szCs w:val="24"/>
        </w:rPr>
        <w:t>Zdroj: PS „Občanská vybavenost“, 10.</w:t>
      </w:r>
      <w:r>
        <w:rPr>
          <w:sz w:val="22"/>
          <w:szCs w:val="24"/>
        </w:rPr>
        <w:t xml:space="preserve"> </w:t>
      </w:r>
      <w:r w:rsidRPr="00BD6FA2">
        <w:rPr>
          <w:sz w:val="22"/>
          <w:szCs w:val="24"/>
        </w:rPr>
        <w:t>6. 2014</w:t>
      </w:r>
    </w:p>
    <w:p w:rsidR="00B44D2F" w:rsidRDefault="00B44D2F" w:rsidP="00B44D2F">
      <w:pPr>
        <w:rPr>
          <w:szCs w:val="24"/>
        </w:rPr>
      </w:pPr>
      <w:r>
        <w:rPr>
          <w:szCs w:val="24"/>
        </w:rPr>
        <w:br w:type="page"/>
      </w:r>
    </w:p>
    <w:p w:rsidR="00B44D2F" w:rsidRPr="00B042B1" w:rsidRDefault="00B44D2F" w:rsidP="00B44D2F">
      <w:pPr>
        <w:pStyle w:val="Titulek"/>
        <w:spacing w:after="0"/>
        <w:rPr>
          <w:color w:val="auto"/>
          <w:sz w:val="24"/>
          <w:szCs w:val="24"/>
        </w:rPr>
      </w:pPr>
      <w:bookmarkStart w:id="12" w:name="_Toc445458965"/>
      <w:bookmarkStart w:id="13" w:name="_Toc446407709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84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Identifikace příčin analyzovaného problému „zásobování potravinami“</w:t>
      </w:r>
      <w:r>
        <w:rPr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a návrhy řešení</w:t>
      </w:r>
      <w:bookmarkEnd w:id="12"/>
      <w:bookmarkEnd w:id="13"/>
    </w:p>
    <w:tbl>
      <w:tblPr>
        <w:tblpPr w:leftFromText="142" w:rightFromText="142" w:vertAnchor="text" w:horzAnchor="margin" w:tblpY="178"/>
        <w:tblOverlap w:val="never"/>
        <w:tblW w:w="9709" w:type="dxa"/>
        <w:tblCellMar>
          <w:left w:w="70" w:type="dxa"/>
          <w:right w:w="70" w:type="dxa"/>
        </w:tblCellMar>
        <w:tblLook w:val="04A0"/>
      </w:tblPr>
      <w:tblGrid>
        <w:gridCol w:w="4039"/>
        <w:gridCol w:w="4253"/>
        <w:gridCol w:w="1417"/>
      </w:tblGrid>
      <w:tr w:rsidR="00B44D2F" w:rsidRPr="00197FDF" w:rsidTr="00AE1C8F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Problém č. 5 „</w:t>
            </w:r>
            <w:r w:rsidRPr="00436040">
              <w:rPr>
                <w:b/>
                <w:color w:val="000000"/>
                <w:sz w:val="26"/>
                <w:szCs w:val="26"/>
              </w:rPr>
              <w:t>Zásobování potravinami</w:t>
            </w:r>
            <w:r>
              <w:rPr>
                <w:b/>
                <w:color w:val="000000"/>
                <w:sz w:val="26"/>
                <w:szCs w:val="26"/>
              </w:rPr>
              <w:t>“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44569">
              <w:rPr>
                <w:b/>
                <w:bCs/>
                <w:color w:val="000000"/>
                <w:szCs w:val="24"/>
              </w:rPr>
              <w:t>Příčiny problému</w:t>
            </w:r>
            <w:r>
              <w:rPr>
                <w:b/>
                <w:bCs/>
                <w:color w:val="000000"/>
                <w:szCs w:val="24"/>
              </w:rPr>
              <w:t xml:space="preserve"> identifikované PS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87248">
              <w:rPr>
                <w:b/>
                <w:bCs/>
                <w:color w:val="000000"/>
                <w:szCs w:val="24"/>
              </w:rPr>
              <w:t>Možnosti řešení</w:t>
            </w:r>
            <w:r>
              <w:rPr>
                <w:b/>
                <w:bCs/>
                <w:color w:val="000000"/>
                <w:szCs w:val="24"/>
              </w:rPr>
              <w:t xml:space="preserve"> příčiny problému navržené 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87248">
              <w:rPr>
                <w:b/>
                <w:bCs/>
                <w:color w:val="000000"/>
                <w:szCs w:val="24"/>
              </w:rPr>
              <w:t>Pořadí důležitosti</w:t>
            </w:r>
            <w:r>
              <w:rPr>
                <w:b/>
                <w:bCs/>
                <w:color w:val="000000"/>
                <w:szCs w:val="24"/>
              </w:rPr>
              <w:t xml:space="preserve"> určené PS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4. Chybějící služby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4. Sociální podniky, uplatnění nezaměstnaných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44569">
              <w:rPr>
                <w:bCs/>
                <w:color w:val="000000"/>
                <w:szCs w:val="24"/>
              </w:rPr>
              <w:t>1</w:t>
            </w:r>
          </w:p>
        </w:tc>
      </w:tr>
      <w:tr w:rsidR="00B44D2F" w:rsidRPr="00197FDF" w:rsidTr="00AE1C8F">
        <w:trPr>
          <w:trHeight w:val="63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3. Zdroje území - opuštěné prodejny, nezaměstnaní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3. Sociální podniky, uplatnění nezaměstnaných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44569">
              <w:rPr>
                <w:bCs/>
                <w:color w:val="000000"/>
                <w:szCs w:val="24"/>
              </w:rPr>
              <w:t>2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2. Nedostatek podnětů a dobrých nápadů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44569">
              <w:rPr>
                <w:bCs/>
                <w:color w:val="000000"/>
                <w:szCs w:val="24"/>
              </w:rPr>
              <w:t>3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1. Nedostatek podnikatelského myšlení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1. Spojit více provozů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44569">
              <w:rPr>
                <w:bCs/>
                <w:color w:val="000000"/>
                <w:szCs w:val="24"/>
              </w:rPr>
              <w:t>4</w:t>
            </w:r>
          </w:p>
        </w:tc>
      </w:tr>
      <w:tr w:rsidR="00B44D2F" w:rsidRPr="00197FDF" w:rsidTr="00AE1C8F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5. Není vůle (rychle se vyčerpá)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44569">
              <w:rPr>
                <w:bCs/>
                <w:color w:val="000000"/>
                <w:szCs w:val="24"/>
              </w:rPr>
              <w:t>4</w:t>
            </w:r>
          </w:p>
        </w:tc>
      </w:tr>
    </w:tbl>
    <w:p w:rsidR="00B44D2F" w:rsidRPr="00BD6FA2" w:rsidRDefault="00B44D2F" w:rsidP="00B44D2F">
      <w:pPr>
        <w:rPr>
          <w:sz w:val="22"/>
          <w:szCs w:val="24"/>
        </w:rPr>
      </w:pPr>
      <w:r w:rsidRPr="00BD6FA2">
        <w:rPr>
          <w:sz w:val="22"/>
          <w:szCs w:val="24"/>
        </w:rPr>
        <w:t>Zdroj: PS „Občanská vybavenost“, 10.</w:t>
      </w:r>
      <w:r>
        <w:rPr>
          <w:sz w:val="22"/>
          <w:szCs w:val="24"/>
        </w:rPr>
        <w:t xml:space="preserve"> </w:t>
      </w:r>
      <w:r w:rsidRPr="00BD6FA2">
        <w:rPr>
          <w:sz w:val="22"/>
          <w:szCs w:val="24"/>
        </w:rPr>
        <w:t>6. 2014</w:t>
      </w:r>
    </w:p>
    <w:p w:rsidR="00B44D2F" w:rsidRDefault="00B44D2F" w:rsidP="00B44D2F"/>
    <w:p w:rsidR="00B44D2F" w:rsidRPr="00B042B1" w:rsidRDefault="00B44D2F" w:rsidP="00B44D2F">
      <w:pPr>
        <w:pStyle w:val="Titulek"/>
        <w:rPr>
          <w:color w:val="auto"/>
          <w:sz w:val="24"/>
          <w:szCs w:val="24"/>
        </w:rPr>
      </w:pPr>
      <w:bookmarkStart w:id="14" w:name="_Toc445458966"/>
      <w:bookmarkStart w:id="15" w:name="_Toc446407710"/>
      <w:r w:rsidRPr="00B042B1">
        <w:rPr>
          <w:b/>
          <w:color w:val="auto"/>
          <w:sz w:val="24"/>
          <w:szCs w:val="24"/>
        </w:rPr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85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Identifikace příčin analyzovaného problému „mateřské školky“</w:t>
      </w:r>
      <w:r>
        <w:rPr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a návrhy řešení</w:t>
      </w:r>
      <w:bookmarkEnd w:id="14"/>
      <w:bookmarkEnd w:id="15"/>
    </w:p>
    <w:tbl>
      <w:tblPr>
        <w:tblpPr w:leftFromText="142" w:rightFromText="142" w:vertAnchor="text" w:horzAnchor="margin" w:tblpY="1"/>
        <w:tblOverlap w:val="never"/>
        <w:tblW w:w="9709" w:type="dxa"/>
        <w:tblCellMar>
          <w:left w:w="70" w:type="dxa"/>
          <w:right w:w="70" w:type="dxa"/>
        </w:tblCellMar>
        <w:tblLook w:val="04A0"/>
      </w:tblPr>
      <w:tblGrid>
        <w:gridCol w:w="4039"/>
        <w:gridCol w:w="4253"/>
        <w:gridCol w:w="1417"/>
      </w:tblGrid>
      <w:tr w:rsidR="00B44D2F" w:rsidRPr="00197FDF" w:rsidTr="00AE1C8F">
        <w:trPr>
          <w:trHeight w:val="567"/>
        </w:trPr>
        <w:tc>
          <w:tcPr>
            <w:tcW w:w="9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Problém č. 6 „</w:t>
            </w:r>
            <w:r w:rsidRPr="00644569">
              <w:rPr>
                <w:b/>
                <w:color w:val="000000"/>
                <w:sz w:val="26"/>
                <w:szCs w:val="26"/>
              </w:rPr>
              <w:t>Mateřské školky</w:t>
            </w:r>
            <w:r>
              <w:rPr>
                <w:b/>
                <w:color w:val="000000"/>
                <w:sz w:val="26"/>
                <w:szCs w:val="26"/>
              </w:rPr>
              <w:t>“</w:t>
            </w:r>
          </w:p>
        </w:tc>
      </w:tr>
      <w:tr w:rsidR="00B44D2F" w:rsidRPr="00197FDF" w:rsidTr="00AE1C8F">
        <w:trPr>
          <w:trHeight w:val="315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644569">
              <w:rPr>
                <w:b/>
                <w:bCs/>
                <w:color w:val="000000"/>
                <w:szCs w:val="24"/>
              </w:rPr>
              <w:t>Příčiny problému</w:t>
            </w:r>
            <w:r>
              <w:rPr>
                <w:b/>
                <w:bCs/>
                <w:color w:val="000000"/>
                <w:szCs w:val="24"/>
              </w:rPr>
              <w:t xml:space="preserve"> identifikované PS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87248">
              <w:rPr>
                <w:b/>
                <w:bCs/>
                <w:color w:val="000000"/>
                <w:szCs w:val="24"/>
              </w:rPr>
              <w:t>Možnosti řešení</w:t>
            </w:r>
            <w:r>
              <w:rPr>
                <w:b/>
                <w:bCs/>
                <w:color w:val="000000"/>
                <w:szCs w:val="24"/>
              </w:rPr>
              <w:t xml:space="preserve"> příčiny problému navržené 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2F" w:rsidRPr="00F8724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F87248">
              <w:rPr>
                <w:b/>
                <w:bCs/>
                <w:color w:val="000000"/>
                <w:szCs w:val="24"/>
              </w:rPr>
              <w:t>Pořadí důležitosti</w:t>
            </w:r>
            <w:r>
              <w:rPr>
                <w:b/>
                <w:bCs/>
                <w:color w:val="000000"/>
                <w:szCs w:val="24"/>
              </w:rPr>
              <w:t xml:space="preserve"> určené PS</w:t>
            </w:r>
          </w:p>
        </w:tc>
      </w:tr>
      <w:tr w:rsidR="00B44D2F" w:rsidRPr="00197FDF" w:rsidTr="00AE1C8F">
        <w:trPr>
          <w:trHeight w:val="315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1. Chybějící vůle včasného řešení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1. Tlak na obecní zastupitelstvo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44569">
              <w:rPr>
                <w:bCs/>
                <w:color w:val="000000"/>
                <w:szCs w:val="24"/>
              </w:rPr>
              <w:t>1</w:t>
            </w:r>
          </w:p>
        </w:tc>
      </w:tr>
      <w:tr w:rsidR="00B44D2F" w:rsidRPr="00197FDF" w:rsidTr="00AE1C8F">
        <w:trPr>
          <w:trHeight w:val="630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2. Nepochopení a nerespektování ekonomických souvislo</w:t>
            </w:r>
            <w:r>
              <w:rPr>
                <w:color w:val="000000"/>
                <w:szCs w:val="24"/>
              </w:rPr>
              <w:t>s</w:t>
            </w:r>
            <w:r w:rsidRPr="00197FDF">
              <w:rPr>
                <w:color w:val="000000"/>
                <w:szCs w:val="24"/>
              </w:rPr>
              <w:t>tí - zaměstnání, vzdělávání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D2F" w:rsidRPr="00197FDF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197FDF">
              <w:rPr>
                <w:color w:val="000000"/>
                <w:szCs w:val="24"/>
              </w:rPr>
              <w:t>2. Menší (alternativní) školky, blaho rodin a společnosti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center"/>
              <w:rPr>
                <w:bCs/>
                <w:color w:val="000000"/>
                <w:szCs w:val="24"/>
              </w:rPr>
            </w:pPr>
            <w:r w:rsidRPr="00644569">
              <w:rPr>
                <w:bCs/>
                <w:color w:val="000000"/>
                <w:szCs w:val="24"/>
              </w:rPr>
              <w:t>2</w:t>
            </w:r>
          </w:p>
        </w:tc>
      </w:tr>
    </w:tbl>
    <w:p w:rsidR="00B44D2F" w:rsidRPr="00BD6FA2" w:rsidRDefault="00B44D2F" w:rsidP="00B44D2F">
      <w:pPr>
        <w:rPr>
          <w:sz w:val="22"/>
          <w:szCs w:val="24"/>
        </w:rPr>
      </w:pPr>
      <w:r w:rsidRPr="00BD6FA2">
        <w:rPr>
          <w:sz w:val="22"/>
          <w:szCs w:val="24"/>
        </w:rPr>
        <w:t>Zdroj: PS „Občanská vybavenost“, 10.</w:t>
      </w:r>
      <w:r>
        <w:rPr>
          <w:sz w:val="22"/>
          <w:szCs w:val="24"/>
        </w:rPr>
        <w:t xml:space="preserve"> </w:t>
      </w:r>
      <w:r w:rsidRPr="00BD6FA2">
        <w:rPr>
          <w:sz w:val="22"/>
          <w:szCs w:val="24"/>
        </w:rPr>
        <w:t>6. 2014</w:t>
      </w:r>
    </w:p>
    <w:p w:rsidR="00B44D2F" w:rsidRDefault="00B44D2F" w:rsidP="00B44D2F"/>
    <w:p w:rsidR="00B44D2F" w:rsidRPr="00AB4D66" w:rsidRDefault="00B44D2F" w:rsidP="00B44D2F">
      <w:pPr>
        <w:spacing w:line="276" w:lineRule="auto"/>
        <w:rPr>
          <w:b/>
          <w:szCs w:val="24"/>
        </w:rPr>
      </w:pPr>
      <w:r>
        <w:rPr>
          <w:b/>
          <w:szCs w:val="24"/>
        </w:rPr>
        <w:t>Výstupy z</w:t>
      </w:r>
      <w:r w:rsidRPr="00AB4D66">
        <w:rPr>
          <w:b/>
          <w:szCs w:val="24"/>
        </w:rPr>
        <w:t xml:space="preserve"> 1. </w:t>
      </w:r>
      <w:r>
        <w:rPr>
          <w:b/>
          <w:szCs w:val="24"/>
        </w:rPr>
        <w:t>Pracovní schůzky PS „Občanská vybavenost“ byly využity pro do</w:t>
      </w:r>
      <w:r w:rsidRPr="00AB4D66">
        <w:rPr>
          <w:b/>
          <w:szCs w:val="24"/>
        </w:rPr>
        <w:t>pracován</w:t>
      </w:r>
      <w:r>
        <w:rPr>
          <w:b/>
          <w:szCs w:val="24"/>
        </w:rPr>
        <w:t>í situační</w:t>
      </w:r>
      <w:r w:rsidRPr="00AB4D66">
        <w:rPr>
          <w:b/>
          <w:szCs w:val="24"/>
        </w:rPr>
        <w:t xml:space="preserve"> analýzy pro problémový okruh „</w:t>
      </w:r>
      <w:r>
        <w:rPr>
          <w:b/>
          <w:szCs w:val="24"/>
        </w:rPr>
        <w:t>Občanská vybavenost</w:t>
      </w:r>
      <w:r w:rsidRPr="00AB4D66">
        <w:rPr>
          <w:b/>
          <w:szCs w:val="24"/>
        </w:rPr>
        <w:t>“</w:t>
      </w:r>
      <w:r>
        <w:rPr>
          <w:b/>
          <w:szCs w:val="24"/>
        </w:rPr>
        <w:t>.</w:t>
      </w:r>
    </w:p>
    <w:p w:rsidR="00B44D2F" w:rsidRDefault="00B44D2F" w:rsidP="00B44D2F">
      <w:r>
        <w:br w:type="page"/>
      </w:r>
    </w:p>
    <w:p w:rsidR="00B44D2F" w:rsidRPr="00116BCE" w:rsidRDefault="00B44D2F" w:rsidP="00B44D2F">
      <w:pPr>
        <w:pStyle w:val="Odstavecseseznamem"/>
        <w:numPr>
          <w:ilvl w:val="0"/>
          <w:numId w:val="1"/>
        </w:numPr>
        <w:ind w:left="426" w:hanging="426"/>
        <w:rPr>
          <w:b/>
        </w:rPr>
      </w:pPr>
      <w:r w:rsidRPr="00116BCE">
        <w:rPr>
          <w:b/>
        </w:rPr>
        <w:lastRenderedPageBreak/>
        <w:t>Schůzka PS „</w:t>
      </w:r>
      <w:r>
        <w:rPr>
          <w:b/>
        </w:rPr>
        <w:t>Občanská vybavenost</w:t>
      </w:r>
      <w:r w:rsidRPr="00116BCE">
        <w:rPr>
          <w:b/>
        </w:rPr>
        <w:t>“</w:t>
      </w:r>
    </w:p>
    <w:p w:rsidR="00B44D2F" w:rsidRPr="00116BCE" w:rsidRDefault="00B44D2F" w:rsidP="00B44D2F">
      <w:pPr>
        <w:rPr>
          <w:b/>
        </w:rPr>
      </w:pPr>
    </w:p>
    <w:p w:rsidR="00B44D2F" w:rsidRDefault="00B44D2F" w:rsidP="00B44D2F">
      <w:pPr>
        <w:rPr>
          <w:szCs w:val="24"/>
        </w:rPr>
      </w:pPr>
      <w:r w:rsidRPr="004A43BC">
        <w:rPr>
          <w:szCs w:val="24"/>
        </w:rPr>
        <w:t>K druhé pracovní schůzce se členové PS „</w:t>
      </w:r>
      <w:r>
        <w:rPr>
          <w:szCs w:val="24"/>
        </w:rPr>
        <w:t>Občanská vybavenost“</w:t>
      </w:r>
      <w:r w:rsidRPr="004A43BC">
        <w:rPr>
          <w:szCs w:val="24"/>
        </w:rPr>
        <w:t xml:space="preserve"> sešli </w:t>
      </w:r>
      <w:r>
        <w:rPr>
          <w:szCs w:val="24"/>
        </w:rPr>
        <w:t>23. č</w:t>
      </w:r>
      <w:r w:rsidRPr="004A43BC">
        <w:rPr>
          <w:szCs w:val="24"/>
        </w:rPr>
        <w:t>ervna 2014 v</w:t>
      </w:r>
      <w:r>
        <w:rPr>
          <w:szCs w:val="24"/>
        </w:rPr>
        <w:t> zasedací místnosti OÚ v Chotovinách. Jako odborný garant byl</w:t>
      </w:r>
      <w:r w:rsidRPr="004A43BC">
        <w:rPr>
          <w:szCs w:val="24"/>
        </w:rPr>
        <w:t xml:space="preserve"> přizván </w:t>
      </w:r>
      <w:r>
        <w:rPr>
          <w:szCs w:val="24"/>
        </w:rPr>
        <w:t>na jednání PS Mgr. Michal Jarolímek z Novohradské občanské společnosti z Nových Hradů.</w:t>
      </w:r>
    </w:p>
    <w:p w:rsidR="00B44D2F" w:rsidRDefault="00B44D2F" w:rsidP="00B44D2F">
      <w:pPr>
        <w:rPr>
          <w:szCs w:val="24"/>
        </w:rPr>
      </w:pPr>
    </w:p>
    <w:p w:rsidR="00B44D2F" w:rsidRDefault="00B44D2F" w:rsidP="00B44D2F">
      <w:pPr>
        <w:rPr>
          <w:szCs w:val="24"/>
        </w:rPr>
      </w:pPr>
      <w:r>
        <w:rPr>
          <w:szCs w:val="24"/>
        </w:rPr>
        <w:t>Pracovní skupina</w:t>
      </w:r>
      <w:r w:rsidRPr="004A43BC">
        <w:rPr>
          <w:szCs w:val="24"/>
        </w:rPr>
        <w:t xml:space="preserve"> vyšla ze závěrů 1. </w:t>
      </w:r>
      <w:r>
        <w:rPr>
          <w:szCs w:val="24"/>
        </w:rPr>
        <w:t xml:space="preserve">schůzky </w:t>
      </w:r>
      <w:r w:rsidRPr="004A43BC">
        <w:rPr>
          <w:szCs w:val="24"/>
        </w:rPr>
        <w:t xml:space="preserve">PS, na které navázala </w:t>
      </w:r>
      <w:r>
        <w:rPr>
          <w:szCs w:val="24"/>
        </w:rPr>
        <w:t xml:space="preserve">vyhledáváním vhodných </w:t>
      </w:r>
      <w:r w:rsidRPr="004A43BC">
        <w:rPr>
          <w:szCs w:val="24"/>
        </w:rPr>
        <w:t>návrh</w:t>
      </w:r>
      <w:r>
        <w:rPr>
          <w:szCs w:val="24"/>
        </w:rPr>
        <w:t>ů</w:t>
      </w:r>
      <w:r w:rsidRPr="004A43BC">
        <w:rPr>
          <w:szCs w:val="24"/>
        </w:rPr>
        <w:t xml:space="preserve"> na řešení iden</w:t>
      </w:r>
      <w:r>
        <w:rPr>
          <w:szCs w:val="24"/>
        </w:rPr>
        <w:t xml:space="preserve">tifikovaných příčin problémů. </w:t>
      </w:r>
      <w:r w:rsidRPr="004A43BC">
        <w:rPr>
          <w:szCs w:val="24"/>
        </w:rPr>
        <w:t xml:space="preserve">Pro hledání nejlepších možných způsobů řešení </w:t>
      </w:r>
      <w:r>
        <w:rPr>
          <w:szCs w:val="24"/>
        </w:rPr>
        <w:t>identifikovaných problémů bylo</w:t>
      </w:r>
      <w:r w:rsidRPr="004A43BC">
        <w:rPr>
          <w:szCs w:val="24"/>
        </w:rPr>
        <w:t xml:space="preserve"> pod vedením facilitátora</w:t>
      </w:r>
      <w:r>
        <w:rPr>
          <w:szCs w:val="24"/>
        </w:rPr>
        <w:t xml:space="preserve"> </w:t>
      </w:r>
      <w:r w:rsidRPr="004A43BC">
        <w:rPr>
          <w:szCs w:val="24"/>
        </w:rPr>
        <w:t>využito b</w:t>
      </w:r>
      <w:r>
        <w:rPr>
          <w:szCs w:val="24"/>
        </w:rPr>
        <w:t>rain</w:t>
      </w:r>
      <w:r w:rsidRPr="004A43BC">
        <w:rPr>
          <w:szCs w:val="24"/>
        </w:rPr>
        <w:t>storming</w:t>
      </w:r>
      <w:r>
        <w:rPr>
          <w:szCs w:val="24"/>
        </w:rPr>
        <w:t>u</w:t>
      </w:r>
      <w:r w:rsidRPr="004A43BC">
        <w:rPr>
          <w:szCs w:val="24"/>
        </w:rPr>
        <w:t xml:space="preserve">. </w:t>
      </w:r>
    </w:p>
    <w:p w:rsidR="00B44D2F" w:rsidRPr="004A43BC" w:rsidRDefault="00B44D2F" w:rsidP="00B44D2F">
      <w:pPr>
        <w:rPr>
          <w:szCs w:val="24"/>
        </w:rPr>
      </w:pPr>
    </w:p>
    <w:p w:rsidR="00B44D2F" w:rsidRDefault="00B44D2F" w:rsidP="00B44D2F">
      <w:r>
        <w:rPr>
          <w:szCs w:val="24"/>
        </w:rPr>
        <w:t>Návrhy</w:t>
      </w:r>
      <w:r w:rsidRPr="004A43BC">
        <w:rPr>
          <w:szCs w:val="24"/>
        </w:rPr>
        <w:t xml:space="preserve"> řešení</w:t>
      </w:r>
      <w:r>
        <w:rPr>
          <w:szCs w:val="24"/>
        </w:rPr>
        <w:t xml:space="preserve"> dříve identifikovaných problémů z problémového okruhu „občanská vybavenost“, které</w:t>
      </w:r>
      <w:r w:rsidRPr="004A43BC">
        <w:rPr>
          <w:szCs w:val="24"/>
        </w:rPr>
        <w:t xml:space="preserve"> se </w:t>
      </w:r>
      <w:r>
        <w:rPr>
          <w:szCs w:val="24"/>
        </w:rPr>
        <w:t xml:space="preserve">pro PS </w:t>
      </w:r>
      <w:r w:rsidRPr="004A43BC">
        <w:rPr>
          <w:szCs w:val="24"/>
        </w:rPr>
        <w:t>stal</w:t>
      </w:r>
      <w:r>
        <w:rPr>
          <w:szCs w:val="24"/>
        </w:rPr>
        <w:t>y výchozí platformou</w:t>
      </w:r>
      <w:r w:rsidRPr="004A43BC">
        <w:rPr>
          <w:szCs w:val="24"/>
        </w:rPr>
        <w:t xml:space="preserve"> p</w:t>
      </w:r>
      <w:r>
        <w:rPr>
          <w:szCs w:val="24"/>
        </w:rPr>
        <w:t>ři</w:t>
      </w:r>
      <w:r w:rsidRPr="004A43BC">
        <w:rPr>
          <w:szCs w:val="24"/>
        </w:rPr>
        <w:t xml:space="preserve"> formulaci strategických cílů</w:t>
      </w:r>
      <w:r>
        <w:rPr>
          <w:szCs w:val="24"/>
        </w:rPr>
        <w:t xml:space="preserve"> a</w:t>
      </w:r>
      <w:r w:rsidRPr="004A43BC">
        <w:rPr>
          <w:szCs w:val="24"/>
        </w:rPr>
        <w:t xml:space="preserve"> operačních cílů </w:t>
      </w:r>
      <w:r>
        <w:rPr>
          <w:szCs w:val="24"/>
        </w:rPr>
        <w:t>pro řešení tohoto okruhu problémů.</w:t>
      </w:r>
    </w:p>
    <w:p w:rsidR="00B44D2F" w:rsidRPr="004A43BC" w:rsidRDefault="00B44D2F" w:rsidP="00B44D2F">
      <w:pPr>
        <w:rPr>
          <w:szCs w:val="24"/>
        </w:rPr>
      </w:pPr>
    </w:p>
    <w:p w:rsidR="00B44D2F" w:rsidRPr="00B042B1" w:rsidRDefault="00B44D2F" w:rsidP="00B44D2F">
      <w:pPr>
        <w:pStyle w:val="Titulek"/>
        <w:spacing w:after="0"/>
        <w:rPr>
          <w:color w:val="auto"/>
          <w:sz w:val="24"/>
          <w:szCs w:val="24"/>
        </w:rPr>
      </w:pPr>
      <w:bookmarkStart w:id="16" w:name="_Toc445458967"/>
      <w:bookmarkStart w:id="17" w:name="_Toc446407711"/>
      <w:r w:rsidRPr="00B042B1">
        <w:rPr>
          <w:b/>
          <w:color w:val="auto"/>
          <w:sz w:val="24"/>
          <w:szCs w:val="24"/>
        </w:rPr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86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Návrhy řešení identifikovaných příčin analyzovaného problému „hromadná doprava“</w:t>
      </w:r>
      <w:bookmarkEnd w:id="16"/>
      <w:bookmarkEnd w:id="17"/>
    </w:p>
    <w:tbl>
      <w:tblPr>
        <w:tblpPr w:leftFromText="142" w:rightFromText="142" w:vertAnchor="text" w:horzAnchor="margin" w:tblpY="54"/>
        <w:tblOverlap w:val="never"/>
        <w:tblW w:w="9426" w:type="dxa"/>
        <w:tblCellMar>
          <w:left w:w="70" w:type="dxa"/>
          <w:right w:w="70" w:type="dxa"/>
        </w:tblCellMar>
        <w:tblLook w:val="04A0"/>
      </w:tblPr>
      <w:tblGrid>
        <w:gridCol w:w="9426"/>
      </w:tblGrid>
      <w:tr w:rsidR="00B44D2F" w:rsidRPr="00AA4CE1" w:rsidTr="00AE1C8F">
        <w:trPr>
          <w:trHeight w:val="56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4569">
              <w:rPr>
                <w:b/>
                <w:color w:val="000000"/>
                <w:sz w:val="26"/>
                <w:szCs w:val="26"/>
              </w:rPr>
              <w:t>Návrhy řešení identifikovaných příčin problému č.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44569">
              <w:rPr>
                <w:b/>
                <w:color w:val="000000"/>
                <w:sz w:val="26"/>
                <w:szCs w:val="26"/>
              </w:rPr>
              <w:t>1 „Hromadná doprava“</w:t>
            </w:r>
          </w:p>
        </w:tc>
      </w:tr>
      <w:tr w:rsidR="00B44D2F" w:rsidRPr="00AA4CE1" w:rsidTr="00AE1C8F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644569">
              <w:rPr>
                <w:color w:val="000000"/>
                <w:szCs w:val="24"/>
              </w:rPr>
              <w:t>1. Studie dopravní obslužnosti (spolupráce s firmou JIKORD)</w:t>
            </w:r>
          </w:p>
        </w:tc>
      </w:tr>
      <w:tr w:rsidR="00B44D2F" w:rsidRPr="00AA4CE1" w:rsidTr="00AE1C8F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644569">
              <w:rPr>
                <w:color w:val="000000"/>
                <w:szCs w:val="24"/>
              </w:rPr>
              <w:t>2. Podporovat nákupy prostředků mobilní hromadné dopravy pro doplňkovou dopravu</w:t>
            </w:r>
          </w:p>
        </w:tc>
      </w:tr>
      <w:tr w:rsidR="00B44D2F" w:rsidRPr="00AA4CE1" w:rsidTr="00AE1C8F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644569">
              <w:rPr>
                <w:color w:val="000000"/>
                <w:szCs w:val="24"/>
              </w:rPr>
              <w:t>3. Podpora bezmotorové dopravy (Indikátory – uzamykatelné stojany na kola, dopravní hřiště, úschovny a půjčovny kol)</w:t>
            </w:r>
          </w:p>
        </w:tc>
      </w:tr>
      <w:tr w:rsidR="00B44D2F" w:rsidRPr="00AA4CE1" w:rsidTr="00AE1C8F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644569">
              <w:rPr>
                <w:color w:val="000000"/>
                <w:szCs w:val="24"/>
              </w:rPr>
              <w:t>4. Elektromobilita</w:t>
            </w:r>
          </w:p>
        </w:tc>
      </w:tr>
      <w:tr w:rsidR="00B44D2F" w:rsidRPr="00AA4CE1" w:rsidTr="00AE1C8F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644569">
              <w:rPr>
                <w:color w:val="000000"/>
                <w:szCs w:val="24"/>
              </w:rPr>
              <w:t>6. Informační dopravní systém</w:t>
            </w:r>
          </w:p>
        </w:tc>
      </w:tr>
      <w:tr w:rsidR="00B44D2F" w:rsidRPr="00AA4CE1" w:rsidTr="00AE1C8F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644569">
              <w:rPr>
                <w:color w:val="000000"/>
                <w:szCs w:val="24"/>
              </w:rPr>
              <w:t>7. Společné sdílení primárního autoparku</w:t>
            </w:r>
          </w:p>
        </w:tc>
      </w:tr>
      <w:tr w:rsidR="00B44D2F" w:rsidRPr="00AA4CE1" w:rsidTr="00AE1C8F">
        <w:trPr>
          <w:trHeight w:val="30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644569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644569">
              <w:rPr>
                <w:color w:val="000000"/>
                <w:szCs w:val="24"/>
              </w:rPr>
              <w:t>8. Návaznost na sport a rekreaci</w:t>
            </w:r>
          </w:p>
        </w:tc>
      </w:tr>
    </w:tbl>
    <w:p w:rsidR="00B44D2F" w:rsidRPr="00BD6FA2" w:rsidRDefault="00B44D2F" w:rsidP="00B44D2F">
      <w:pPr>
        <w:rPr>
          <w:sz w:val="22"/>
        </w:rPr>
      </w:pPr>
      <w:r w:rsidRPr="00BD6FA2">
        <w:rPr>
          <w:sz w:val="22"/>
        </w:rPr>
        <w:t>Zdroj: PS „Občanská vybavenost“, 23.</w:t>
      </w:r>
      <w:r>
        <w:rPr>
          <w:sz w:val="22"/>
        </w:rPr>
        <w:t xml:space="preserve"> </w:t>
      </w:r>
      <w:r w:rsidRPr="00BD6FA2">
        <w:rPr>
          <w:sz w:val="22"/>
        </w:rPr>
        <w:t>6.</w:t>
      </w:r>
      <w:r>
        <w:rPr>
          <w:sz w:val="22"/>
        </w:rPr>
        <w:t xml:space="preserve"> </w:t>
      </w:r>
      <w:r w:rsidRPr="00BD6FA2">
        <w:rPr>
          <w:sz w:val="22"/>
        </w:rPr>
        <w:t>2014</w:t>
      </w:r>
    </w:p>
    <w:p w:rsidR="00B44D2F" w:rsidRDefault="00B44D2F" w:rsidP="00B44D2F">
      <w:pPr>
        <w:spacing w:line="276" w:lineRule="auto"/>
      </w:pPr>
    </w:p>
    <w:p w:rsidR="00B44D2F" w:rsidRPr="00B042B1" w:rsidRDefault="00B44D2F" w:rsidP="00B44D2F">
      <w:pPr>
        <w:pStyle w:val="Titulek"/>
        <w:spacing w:after="0"/>
        <w:rPr>
          <w:color w:val="auto"/>
          <w:sz w:val="24"/>
          <w:szCs w:val="24"/>
        </w:rPr>
      </w:pPr>
      <w:bookmarkStart w:id="18" w:name="_Toc445458968"/>
      <w:bookmarkStart w:id="19" w:name="_Toc446407712"/>
      <w:r w:rsidRPr="00B042B1">
        <w:rPr>
          <w:b/>
          <w:color w:val="auto"/>
          <w:sz w:val="24"/>
          <w:szCs w:val="24"/>
        </w:rPr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87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 w:rsidRPr="00B042B1">
        <w:rPr>
          <w:color w:val="auto"/>
          <w:sz w:val="24"/>
          <w:szCs w:val="24"/>
        </w:rPr>
        <w:t>Návrhy řešení identifikovaných příčin analyzovaného problému „vodní sporty“</w:t>
      </w:r>
      <w:bookmarkEnd w:id="18"/>
      <w:bookmarkEnd w:id="19"/>
    </w:p>
    <w:tbl>
      <w:tblPr>
        <w:tblpPr w:leftFromText="142" w:rightFromText="142" w:vertAnchor="text" w:horzAnchor="margin" w:tblpY="57"/>
        <w:tblOverlap w:val="never"/>
        <w:tblW w:w="9476" w:type="dxa"/>
        <w:tblCellMar>
          <w:left w:w="70" w:type="dxa"/>
          <w:right w:w="70" w:type="dxa"/>
        </w:tblCellMar>
        <w:tblLook w:val="04A0"/>
      </w:tblPr>
      <w:tblGrid>
        <w:gridCol w:w="9476"/>
      </w:tblGrid>
      <w:tr w:rsidR="00B44D2F" w:rsidRPr="00AA4CE1" w:rsidTr="00AE1C8F">
        <w:trPr>
          <w:trHeight w:val="567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4569">
              <w:rPr>
                <w:b/>
                <w:color w:val="000000"/>
                <w:sz w:val="26"/>
                <w:szCs w:val="26"/>
              </w:rPr>
              <w:t>Návrhy řešení identifikovaných příčin problému č.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44569">
              <w:rPr>
                <w:b/>
                <w:color w:val="000000"/>
                <w:sz w:val="26"/>
                <w:szCs w:val="26"/>
              </w:rPr>
              <w:t>2 „Vodní sporty“</w:t>
            </w:r>
          </w:p>
        </w:tc>
      </w:tr>
      <w:tr w:rsidR="00B44D2F" w:rsidRPr="00AA4CE1" w:rsidTr="00AE1C8F">
        <w:trPr>
          <w:trHeight w:val="315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1. Pasportizace rybníků</w:t>
            </w:r>
          </w:p>
        </w:tc>
      </w:tr>
      <w:tr w:rsidR="00B44D2F" w:rsidRPr="00AA4CE1" w:rsidTr="00AE1C8F">
        <w:trPr>
          <w:trHeight w:val="315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2. Přehodnocení</w:t>
            </w:r>
          </w:p>
        </w:tc>
      </w:tr>
      <w:tr w:rsidR="00B44D2F" w:rsidRPr="00AA4CE1" w:rsidTr="00AE1C8F">
        <w:trPr>
          <w:trHeight w:val="315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3. Odbahňování rybníků</w:t>
            </w:r>
          </w:p>
        </w:tc>
      </w:tr>
      <w:tr w:rsidR="00B44D2F" w:rsidRPr="00AA4CE1" w:rsidTr="00AE1C8F">
        <w:trPr>
          <w:trHeight w:val="315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4. Podpora vzniku plováren na rybnících (zajištění např. toalet, laviček, odpad. Košů</w:t>
            </w:r>
            <w:r>
              <w:rPr>
                <w:color w:val="000000"/>
              </w:rPr>
              <w:t>,</w:t>
            </w:r>
            <w:r w:rsidRPr="00AA4CE1">
              <w:rPr>
                <w:color w:val="000000"/>
              </w:rPr>
              <w:t>…)</w:t>
            </w:r>
          </w:p>
        </w:tc>
      </w:tr>
      <w:tr w:rsidR="00B44D2F" w:rsidRPr="00AA4CE1" w:rsidTr="00AE1C8F">
        <w:trPr>
          <w:trHeight w:val="315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5. Biologické čištění rekreačních vod</w:t>
            </w:r>
          </w:p>
        </w:tc>
      </w:tr>
      <w:tr w:rsidR="00B44D2F" w:rsidRPr="00AA4CE1" w:rsidTr="00AE1C8F">
        <w:trPr>
          <w:trHeight w:val="315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6. Vodní turistika (spojení s hromadnou dopravou)</w:t>
            </w:r>
          </w:p>
        </w:tc>
      </w:tr>
      <w:tr w:rsidR="00B44D2F" w:rsidRPr="00AA4CE1" w:rsidTr="00AE1C8F">
        <w:trPr>
          <w:trHeight w:val="315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7. Informační systém (např. teplota vody,.</w:t>
            </w:r>
            <w:r>
              <w:rPr>
                <w:color w:val="000000"/>
              </w:rPr>
              <w:t>.</w:t>
            </w:r>
            <w:r w:rsidRPr="00AA4CE1">
              <w:rPr>
                <w:color w:val="000000"/>
              </w:rPr>
              <w:t>.)</w:t>
            </w:r>
          </w:p>
        </w:tc>
      </w:tr>
    </w:tbl>
    <w:p w:rsidR="00B44D2F" w:rsidRDefault="00B44D2F" w:rsidP="00B44D2F">
      <w:pPr>
        <w:rPr>
          <w:sz w:val="22"/>
        </w:rPr>
      </w:pPr>
      <w:r w:rsidRPr="00BD6FA2">
        <w:rPr>
          <w:sz w:val="22"/>
        </w:rPr>
        <w:t>Zdroj: PS „Občanská vybavenost“, 23.</w:t>
      </w:r>
      <w:r>
        <w:rPr>
          <w:sz w:val="22"/>
        </w:rPr>
        <w:t xml:space="preserve"> </w:t>
      </w:r>
      <w:r w:rsidRPr="00BD6FA2">
        <w:rPr>
          <w:sz w:val="22"/>
        </w:rPr>
        <w:t>6.</w:t>
      </w:r>
      <w:r>
        <w:rPr>
          <w:sz w:val="22"/>
        </w:rPr>
        <w:t xml:space="preserve"> </w:t>
      </w:r>
      <w:r w:rsidRPr="00BD6FA2">
        <w:rPr>
          <w:sz w:val="22"/>
        </w:rPr>
        <w:t>2014</w:t>
      </w:r>
    </w:p>
    <w:p w:rsidR="00B44D2F" w:rsidRPr="00644569" w:rsidRDefault="00B44D2F" w:rsidP="00B44D2F">
      <w:pPr>
        <w:spacing w:after="160" w:line="259" w:lineRule="auto"/>
        <w:jc w:val="left"/>
        <w:rPr>
          <w:sz w:val="22"/>
        </w:rPr>
      </w:pPr>
      <w:r>
        <w:rPr>
          <w:sz w:val="22"/>
        </w:rPr>
        <w:br w:type="page"/>
      </w:r>
    </w:p>
    <w:p w:rsidR="00B44D2F" w:rsidRPr="00B042B1" w:rsidRDefault="00B44D2F" w:rsidP="00B44D2F">
      <w:pPr>
        <w:pStyle w:val="Titulek"/>
        <w:rPr>
          <w:color w:val="auto"/>
          <w:sz w:val="24"/>
          <w:szCs w:val="24"/>
        </w:rPr>
      </w:pPr>
      <w:bookmarkStart w:id="20" w:name="_Toc445458969"/>
      <w:bookmarkStart w:id="21" w:name="_Toc446407713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88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Návrhy řešení identifikovaných příčin analyzovaného problému „sport a rekreace“</w:t>
      </w:r>
      <w:bookmarkEnd w:id="20"/>
      <w:bookmarkEnd w:id="21"/>
    </w:p>
    <w:tbl>
      <w:tblPr>
        <w:tblpPr w:leftFromText="142" w:rightFromText="142" w:vertAnchor="text" w:horzAnchor="margin" w:tblpY="1"/>
        <w:tblOverlap w:val="never"/>
        <w:tblW w:w="9426" w:type="dxa"/>
        <w:tblCellMar>
          <w:left w:w="70" w:type="dxa"/>
          <w:right w:w="70" w:type="dxa"/>
        </w:tblCellMar>
        <w:tblLook w:val="04A0"/>
      </w:tblPr>
      <w:tblGrid>
        <w:gridCol w:w="9426"/>
      </w:tblGrid>
      <w:tr w:rsidR="00B44D2F" w:rsidRPr="00AA4CE1" w:rsidTr="00AE1C8F">
        <w:trPr>
          <w:trHeight w:val="56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4569">
              <w:rPr>
                <w:b/>
                <w:color w:val="000000"/>
                <w:sz w:val="26"/>
                <w:szCs w:val="26"/>
              </w:rPr>
              <w:t>Návrhy řešení identifikovaných příčin problému č.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44569">
              <w:rPr>
                <w:b/>
                <w:color w:val="000000"/>
                <w:sz w:val="26"/>
                <w:szCs w:val="26"/>
              </w:rPr>
              <w:t>3 „Sport a rekreace“</w:t>
            </w:r>
          </w:p>
        </w:tc>
      </w:tr>
      <w:tr w:rsidR="00B44D2F" w:rsidRPr="00AA4CE1" w:rsidTr="00AE1C8F">
        <w:trPr>
          <w:trHeight w:val="30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bCs/>
                <w:color w:val="000000"/>
              </w:rPr>
            </w:pPr>
            <w:r w:rsidRPr="00AA4CE1">
              <w:rPr>
                <w:bCs/>
                <w:color w:val="000000"/>
              </w:rPr>
              <w:t>1. Využívat prvek komunitního plánování</w:t>
            </w:r>
          </w:p>
        </w:tc>
      </w:tr>
      <w:tr w:rsidR="00B44D2F" w:rsidRPr="00AA4CE1" w:rsidTr="00AE1C8F">
        <w:trPr>
          <w:trHeight w:val="30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bCs/>
                <w:color w:val="000000"/>
              </w:rPr>
            </w:pPr>
            <w:r w:rsidRPr="00AA4CE1">
              <w:rPr>
                <w:bCs/>
                <w:color w:val="000000"/>
              </w:rPr>
              <w:t>2. Informační systém využití sportovišť</w:t>
            </w:r>
          </w:p>
        </w:tc>
      </w:tr>
      <w:tr w:rsidR="00B44D2F" w:rsidRPr="00AA4CE1" w:rsidTr="00AE1C8F">
        <w:trPr>
          <w:trHeight w:val="30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bCs/>
                <w:color w:val="000000"/>
              </w:rPr>
            </w:pPr>
            <w:r w:rsidRPr="00AA4CE1">
              <w:rPr>
                <w:bCs/>
                <w:color w:val="000000"/>
              </w:rPr>
              <w:t>3. Podpora malých venkovských sportovišť</w:t>
            </w:r>
          </w:p>
        </w:tc>
      </w:tr>
      <w:tr w:rsidR="00B44D2F" w:rsidRPr="00AA4CE1" w:rsidTr="00AE1C8F">
        <w:trPr>
          <w:trHeight w:val="30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bCs/>
                <w:color w:val="000000"/>
              </w:rPr>
            </w:pPr>
            <w:r w:rsidRPr="00AA4CE1">
              <w:rPr>
                <w:bCs/>
                <w:color w:val="000000"/>
              </w:rPr>
              <w:t>4. Podpora vícegeneračních sportovišť (různé věkové skupiny dětí)</w:t>
            </w:r>
          </w:p>
        </w:tc>
      </w:tr>
      <w:tr w:rsidR="00B44D2F" w:rsidRPr="00AA4CE1" w:rsidTr="00AE1C8F">
        <w:trPr>
          <w:trHeight w:val="30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bCs/>
                <w:color w:val="000000"/>
              </w:rPr>
            </w:pPr>
            <w:r w:rsidRPr="00AA4CE1">
              <w:rPr>
                <w:bCs/>
                <w:color w:val="000000"/>
              </w:rPr>
              <w:t>5. Podpora inventáře - obnovy (půjčovna běžek, … při ZŠ - se zajištěním trenéra)</w:t>
            </w:r>
          </w:p>
        </w:tc>
      </w:tr>
    </w:tbl>
    <w:p w:rsidR="00B44D2F" w:rsidRPr="00BD6FA2" w:rsidRDefault="00B44D2F" w:rsidP="00B44D2F">
      <w:pPr>
        <w:rPr>
          <w:sz w:val="22"/>
        </w:rPr>
      </w:pPr>
      <w:r w:rsidRPr="00BD6FA2">
        <w:rPr>
          <w:sz w:val="22"/>
        </w:rPr>
        <w:t>Zdroj: PS „Občanská vybavenost“, 23.</w:t>
      </w:r>
      <w:r>
        <w:rPr>
          <w:sz w:val="22"/>
        </w:rPr>
        <w:t xml:space="preserve"> </w:t>
      </w:r>
      <w:r w:rsidRPr="00BD6FA2">
        <w:rPr>
          <w:sz w:val="22"/>
        </w:rPr>
        <w:t>6.</w:t>
      </w:r>
      <w:r>
        <w:rPr>
          <w:sz w:val="22"/>
        </w:rPr>
        <w:t xml:space="preserve"> </w:t>
      </w:r>
      <w:r w:rsidRPr="00BD6FA2">
        <w:rPr>
          <w:sz w:val="22"/>
        </w:rPr>
        <w:t>2014</w:t>
      </w:r>
    </w:p>
    <w:p w:rsidR="00B44D2F" w:rsidRDefault="00B44D2F" w:rsidP="00B44D2F"/>
    <w:p w:rsidR="00B44D2F" w:rsidRPr="0092024F" w:rsidRDefault="00B44D2F" w:rsidP="00B44D2F">
      <w:pPr>
        <w:pStyle w:val="Titulek"/>
        <w:spacing w:after="0"/>
        <w:rPr>
          <w:color w:val="auto"/>
          <w:sz w:val="24"/>
          <w:szCs w:val="24"/>
        </w:rPr>
      </w:pPr>
      <w:bookmarkStart w:id="22" w:name="_Toc445458970"/>
      <w:bookmarkStart w:id="23" w:name="_Toc446407714"/>
      <w:r w:rsidRPr="00B042B1">
        <w:rPr>
          <w:b/>
          <w:color w:val="auto"/>
          <w:sz w:val="24"/>
          <w:szCs w:val="24"/>
        </w:rPr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89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 w:rsidRPr="00B042B1">
        <w:rPr>
          <w:color w:val="auto"/>
          <w:sz w:val="24"/>
          <w:szCs w:val="24"/>
        </w:rPr>
        <w:t xml:space="preserve"> Návrhy řešení identifikovaných příčin analyzovaného problému „prostory pro společenské a kulturní vyžití“</w:t>
      </w:r>
      <w:bookmarkEnd w:id="22"/>
      <w:bookmarkEnd w:id="23"/>
    </w:p>
    <w:tbl>
      <w:tblPr>
        <w:tblpPr w:leftFromText="142" w:rightFromText="142" w:vertAnchor="text" w:horzAnchor="margin" w:tblpY="189"/>
        <w:tblOverlap w:val="never"/>
        <w:tblW w:w="9426" w:type="dxa"/>
        <w:tblCellMar>
          <w:left w:w="70" w:type="dxa"/>
          <w:right w:w="70" w:type="dxa"/>
        </w:tblCellMar>
        <w:tblLook w:val="04A0"/>
      </w:tblPr>
      <w:tblGrid>
        <w:gridCol w:w="9426"/>
      </w:tblGrid>
      <w:tr w:rsidR="00B44D2F" w:rsidRPr="00AA4CE1" w:rsidTr="00AE1C8F">
        <w:trPr>
          <w:trHeight w:val="56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47C06">
              <w:rPr>
                <w:b/>
                <w:color w:val="000000"/>
                <w:sz w:val="26"/>
                <w:szCs w:val="26"/>
              </w:rPr>
              <w:t>Návrhy řešení identifikovaných příčin problému č.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47C06">
              <w:rPr>
                <w:b/>
                <w:color w:val="000000"/>
                <w:sz w:val="26"/>
                <w:szCs w:val="26"/>
              </w:rPr>
              <w:t>4 „</w:t>
            </w:r>
            <w:r>
              <w:rPr>
                <w:b/>
                <w:color w:val="000000"/>
                <w:sz w:val="26"/>
                <w:szCs w:val="26"/>
              </w:rPr>
              <w:t>Prostory pro společenské a </w:t>
            </w:r>
            <w:r w:rsidRPr="00E47C06">
              <w:rPr>
                <w:b/>
                <w:color w:val="000000"/>
                <w:sz w:val="26"/>
                <w:szCs w:val="26"/>
              </w:rPr>
              <w:t>kulturní vyžití“</w:t>
            </w:r>
          </w:p>
        </w:tc>
      </w:tr>
      <w:tr w:rsidR="00B44D2F" w:rsidRPr="00AA4CE1" w:rsidTr="00AE1C8F">
        <w:trPr>
          <w:trHeight w:val="31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1. Granty malého rozsahu (poskytovateli jsou obce)</w:t>
            </w:r>
          </w:p>
        </w:tc>
      </w:tr>
      <w:tr w:rsidR="00B44D2F" w:rsidRPr="00AA4CE1" w:rsidTr="00AE1C8F">
        <w:trPr>
          <w:trHeight w:val="31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2. Informační systém</w:t>
            </w:r>
          </w:p>
        </w:tc>
      </w:tr>
      <w:tr w:rsidR="00B44D2F" w:rsidRPr="00AA4CE1" w:rsidTr="00AE1C8F">
        <w:trPr>
          <w:trHeight w:val="31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3. Rekonstrukce kulturních domů</w:t>
            </w:r>
          </w:p>
        </w:tc>
      </w:tr>
      <w:tr w:rsidR="00B44D2F" w:rsidRPr="00AA4CE1" w:rsidTr="00AE1C8F">
        <w:trPr>
          <w:trHeight w:val="31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4. Partnerské spoluužívání zařízení</w:t>
            </w:r>
          </w:p>
        </w:tc>
      </w:tr>
      <w:tr w:rsidR="00B44D2F" w:rsidRPr="00AA4CE1" w:rsidTr="00AE1C8F">
        <w:trPr>
          <w:trHeight w:val="31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5. Víceúčelovost a snadná dostupnost</w:t>
            </w:r>
          </w:p>
        </w:tc>
      </w:tr>
      <w:tr w:rsidR="00B44D2F" w:rsidRPr="00AA4CE1" w:rsidTr="00AE1C8F">
        <w:trPr>
          <w:trHeight w:val="31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6. Podpora komunitního plánování</w:t>
            </w:r>
          </w:p>
        </w:tc>
      </w:tr>
      <w:tr w:rsidR="00B44D2F" w:rsidRPr="00AA4CE1" w:rsidTr="00AE1C8F">
        <w:trPr>
          <w:trHeight w:val="316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AA4CE1">
              <w:rPr>
                <w:color w:val="000000"/>
              </w:rPr>
              <w:t>7. Dětská minihřiště (rostoucí)</w:t>
            </w:r>
          </w:p>
        </w:tc>
      </w:tr>
    </w:tbl>
    <w:p w:rsidR="00B44D2F" w:rsidRDefault="00B44D2F" w:rsidP="00B44D2F">
      <w:pPr>
        <w:rPr>
          <w:sz w:val="22"/>
        </w:rPr>
      </w:pPr>
      <w:r w:rsidRPr="00BD6FA2">
        <w:rPr>
          <w:sz w:val="22"/>
        </w:rPr>
        <w:t>Zdroj: PS „Občanská vybavenost“, 23.</w:t>
      </w:r>
      <w:r>
        <w:rPr>
          <w:sz w:val="22"/>
        </w:rPr>
        <w:t xml:space="preserve"> </w:t>
      </w:r>
      <w:r w:rsidRPr="00BD6FA2">
        <w:rPr>
          <w:sz w:val="22"/>
        </w:rPr>
        <w:t>6.</w:t>
      </w:r>
      <w:r>
        <w:rPr>
          <w:sz w:val="22"/>
        </w:rPr>
        <w:t xml:space="preserve"> </w:t>
      </w:r>
      <w:r w:rsidRPr="00BD6FA2">
        <w:rPr>
          <w:sz w:val="22"/>
        </w:rPr>
        <w:t>2014</w:t>
      </w:r>
    </w:p>
    <w:p w:rsidR="00B44D2F" w:rsidRDefault="00B44D2F" w:rsidP="00B44D2F"/>
    <w:p w:rsidR="00B44D2F" w:rsidRPr="00B042B1" w:rsidRDefault="00B44D2F" w:rsidP="00B44D2F">
      <w:pPr>
        <w:pStyle w:val="Titulek"/>
        <w:spacing w:after="0"/>
        <w:rPr>
          <w:color w:val="auto"/>
          <w:sz w:val="24"/>
          <w:szCs w:val="24"/>
        </w:rPr>
      </w:pPr>
      <w:bookmarkStart w:id="24" w:name="_Toc445458971"/>
      <w:bookmarkStart w:id="25" w:name="_Toc446407715"/>
      <w:r w:rsidRPr="00B042B1">
        <w:rPr>
          <w:b/>
          <w:color w:val="auto"/>
          <w:sz w:val="24"/>
          <w:szCs w:val="24"/>
        </w:rPr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90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Návrhy řešení identifikovaných příčin analyzovaného problému „spolková činnost“</w:t>
      </w:r>
      <w:bookmarkEnd w:id="24"/>
      <w:bookmarkEnd w:id="25"/>
    </w:p>
    <w:tbl>
      <w:tblPr>
        <w:tblpPr w:leftFromText="142" w:rightFromText="142" w:vertAnchor="text" w:horzAnchor="margin" w:tblpY="138"/>
        <w:tblOverlap w:val="never"/>
        <w:tblW w:w="9426" w:type="dxa"/>
        <w:tblCellMar>
          <w:left w:w="70" w:type="dxa"/>
          <w:right w:w="70" w:type="dxa"/>
        </w:tblCellMar>
        <w:tblLook w:val="04A0"/>
      </w:tblPr>
      <w:tblGrid>
        <w:gridCol w:w="9426"/>
      </w:tblGrid>
      <w:tr w:rsidR="00B44D2F" w:rsidRPr="00AA4CE1" w:rsidTr="00AE1C8F">
        <w:trPr>
          <w:trHeight w:val="56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7C06">
              <w:rPr>
                <w:b/>
                <w:color w:val="000000"/>
                <w:sz w:val="26"/>
                <w:szCs w:val="26"/>
              </w:rPr>
              <w:t>Návrhy řešení identifikovaných příčin problému č.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47C06">
              <w:rPr>
                <w:b/>
                <w:color w:val="000000"/>
                <w:sz w:val="26"/>
                <w:szCs w:val="26"/>
              </w:rPr>
              <w:t>5 „Spolková činnost“</w:t>
            </w:r>
          </w:p>
        </w:tc>
      </w:tr>
      <w:tr w:rsidR="00B44D2F" w:rsidRPr="00AA4CE1" w:rsidTr="00AE1C8F">
        <w:trPr>
          <w:trHeight w:val="31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bCs/>
                <w:color w:val="000000"/>
              </w:rPr>
            </w:pPr>
            <w:r w:rsidRPr="00AA4CE1">
              <w:rPr>
                <w:bCs/>
                <w:color w:val="000000"/>
              </w:rPr>
              <w:t>1. Malé granty obcí na rozvoj spolkové činnosti (děti a mládež)</w:t>
            </w:r>
          </w:p>
        </w:tc>
      </w:tr>
      <w:tr w:rsidR="00B44D2F" w:rsidRPr="00AA4CE1" w:rsidTr="00AE1C8F">
        <w:trPr>
          <w:trHeight w:val="31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bCs/>
                <w:color w:val="000000"/>
              </w:rPr>
            </w:pPr>
            <w:r w:rsidRPr="00AA4CE1">
              <w:rPr>
                <w:bCs/>
                <w:color w:val="000000"/>
              </w:rPr>
              <w:t>2. Instruktoři, vedoucí mládeže, animátoři,</w:t>
            </w:r>
            <w:r>
              <w:rPr>
                <w:bCs/>
                <w:color w:val="000000"/>
              </w:rPr>
              <w:t>... (</w:t>
            </w:r>
            <w:r w:rsidRPr="00AA4CE1">
              <w:rPr>
                <w:bCs/>
                <w:color w:val="000000"/>
              </w:rPr>
              <w:t>najít je, odměňování,</w:t>
            </w:r>
            <w:r>
              <w:rPr>
                <w:bCs/>
                <w:color w:val="000000"/>
              </w:rPr>
              <w:t>…</w:t>
            </w:r>
            <w:r w:rsidRPr="00AA4CE1">
              <w:rPr>
                <w:bCs/>
                <w:color w:val="000000"/>
              </w:rPr>
              <w:t>)</w:t>
            </w:r>
          </w:p>
        </w:tc>
      </w:tr>
      <w:tr w:rsidR="00B44D2F" w:rsidRPr="00AA4CE1" w:rsidTr="00AE1C8F">
        <w:trPr>
          <w:trHeight w:val="31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2F" w:rsidRPr="00AA4CE1" w:rsidRDefault="00B44D2F" w:rsidP="00AE1C8F">
            <w:pPr>
              <w:spacing w:line="240" w:lineRule="auto"/>
              <w:jc w:val="left"/>
              <w:rPr>
                <w:bCs/>
                <w:color w:val="000000"/>
              </w:rPr>
            </w:pPr>
            <w:r w:rsidRPr="00AA4CE1">
              <w:rPr>
                <w:bCs/>
                <w:color w:val="000000"/>
              </w:rPr>
              <w:t>3. Vybavení a rekonstrukce stávajících kluboven</w:t>
            </w:r>
          </w:p>
        </w:tc>
      </w:tr>
    </w:tbl>
    <w:p w:rsidR="00B44D2F" w:rsidRPr="00BD6FA2" w:rsidRDefault="00B44D2F" w:rsidP="00B44D2F">
      <w:pPr>
        <w:rPr>
          <w:sz w:val="22"/>
        </w:rPr>
      </w:pPr>
      <w:r w:rsidRPr="00BD6FA2">
        <w:rPr>
          <w:sz w:val="22"/>
        </w:rPr>
        <w:t>Zdroj: PS „Občanská vybavenost“, 23.</w:t>
      </w:r>
      <w:r>
        <w:rPr>
          <w:sz w:val="22"/>
        </w:rPr>
        <w:t xml:space="preserve"> </w:t>
      </w:r>
      <w:r w:rsidRPr="00BD6FA2">
        <w:rPr>
          <w:sz w:val="22"/>
        </w:rPr>
        <w:t>6.</w:t>
      </w:r>
      <w:r>
        <w:rPr>
          <w:sz w:val="22"/>
        </w:rPr>
        <w:t xml:space="preserve"> </w:t>
      </w:r>
      <w:r w:rsidRPr="00BD6FA2">
        <w:rPr>
          <w:sz w:val="22"/>
        </w:rPr>
        <w:t>2014</w:t>
      </w:r>
    </w:p>
    <w:p w:rsidR="00B44D2F" w:rsidRDefault="00B44D2F" w:rsidP="00B44D2F">
      <w:pPr>
        <w:spacing w:line="276" w:lineRule="auto"/>
      </w:pPr>
    </w:p>
    <w:p w:rsidR="00B44D2F" w:rsidRPr="00B042B1" w:rsidRDefault="00B44D2F" w:rsidP="00B44D2F">
      <w:pPr>
        <w:pStyle w:val="Titulek"/>
        <w:rPr>
          <w:color w:val="auto"/>
          <w:sz w:val="24"/>
          <w:szCs w:val="24"/>
        </w:rPr>
      </w:pPr>
      <w:bookmarkStart w:id="26" w:name="_Toc445458972"/>
      <w:bookmarkStart w:id="27" w:name="_Toc446407716"/>
      <w:r w:rsidRPr="00B042B1">
        <w:rPr>
          <w:b/>
          <w:color w:val="auto"/>
          <w:sz w:val="24"/>
          <w:szCs w:val="24"/>
        </w:rPr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91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Návrhy řešení identifikovaných příčin analyzovaného problému „zásobování potravinami“</w:t>
      </w:r>
      <w:bookmarkEnd w:id="26"/>
      <w:bookmarkEnd w:id="27"/>
    </w:p>
    <w:tbl>
      <w:tblPr>
        <w:tblStyle w:val="Mkatabulky"/>
        <w:tblpPr w:leftFromText="142" w:rightFromText="142" w:vertAnchor="text" w:horzAnchor="margin" w:tblpY="83"/>
        <w:tblW w:w="0" w:type="auto"/>
        <w:tblLook w:val="04A0"/>
      </w:tblPr>
      <w:tblGrid>
        <w:gridCol w:w="9288"/>
      </w:tblGrid>
      <w:tr w:rsidR="00B44D2F" w:rsidRPr="00AA4CE1" w:rsidTr="00AE1C8F">
        <w:trPr>
          <w:trHeight w:val="567"/>
        </w:trPr>
        <w:tc>
          <w:tcPr>
            <w:tcW w:w="9464" w:type="dxa"/>
            <w:shd w:val="clear" w:color="auto" w:fill="FFC000"/>
            <w:vAlign w:val="center"/>
          </w:tcPr>
          <w:p w:rsidR="00B44D2F" w:rsidRPr="00AA4CE1" w:rsidRDefault="00B44D2F" w:rsidP="00AE1C8F">
            <w:pP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47C06">
              <w:rPr>
                <w:b/>
                <w:color w:val="000000"/>
                <w:sz w:val="26"/>
                <w:szCs w:val="26"/>
              </w:rPr>
              <w:t>Návrhy řešení identifikovaných příčin problému č.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47C06">
              <w:rPr>
                <w:b/>
                <w:color w:val="000000"/>
                <w:sz w:val="26"/>
                <w:szCs w:val="26"/>
              </w:rPr>
              <w:t>6 „Zásobování potravinami“</w:t>
            </w:r>
          </w:p>
        </w:tc>
      </w:tr>
      <w:tr w:rsidR="00B44D2F" w:rsidRPr="00AA4CE1" w:rsidTr="00AE1C8F">
        <w:trPr>
          <w:trHeight w:val="265"/>
        </w:trPr>
        <w:tc>
          <w:tcPr>
            <w:tcW w:w="9464" w:type="dxa"/>
            <w:vAlign w:val="center"/>
          </w:tcPr>
          <w:p w:rsidR="00B44D2F" w:rsidRPr="00E47C06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E47C06">
              <w:rPr>
                <w:color w:val="000000"/>
                <w:szCs w:val="24"/>
              </w:rPr>
              <w:t>1. Otevírání starých obchodů, výdejních míst</w:t>
            </w:r>
          </w:p>
        </w:tc>
      </w:tr>
      <w:tr w:rsidR="00B44D2F" w:rsidRPr="00AA4CE1" w:rsidTr="00AE1C8F">
        <w:trPr>
          <w:trHeight w:val="279"/>
        </w:trPr>
        <w:tc>
          <w:tcPr>
            <w:tcW w:w="9464" w:type="dxa"/>
            <w:vAlign w:val="center"/>
          </w:tcPr>
          <w:p w:rsidR="00B44D2F" w:rsidRPr="00E47C06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E47C06">
              <w:rPr>
                <w:color w:val="000000"/>
                <w:szCs w:val="24"/>
              </w:rPr>
              <w:t>2. Tržnice u dálnice</w:t>
            </w:r>
          </w:p>
        </w:tc>
      </w:tr>
      <w:tr w:rsidR="00B44D2F" w:rsidRPr="00AA4CE1" w:rsidTr="00AE1C8F">
        <w:trPr>
          <w:trHeight w:val="265"/>
        </w:trPr>
        <w:tc>
          <w:tcPr>
            <w:tcW w:w="9464" w:type="dxa"/>
            <w:vAlign w:val="center"/>
          </w:tcPr>
          <w:p w:rsidR="00B44D2F" w:rsidRPr="00E47C06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E47C06">
              <w:rPr>
                <w:color w:val="000000"/>
                <w:szCs w:val="24"/>
              </w:rPr>
              <w:t>3. Mobilita - víceúčelové dopravní prostředky na potraviny a zboží</w:t>
            </w:r>
          </w:p>
        </w:tc>
      </w:tr>
      <w:tr w:rsidR="00B44D2F" w:rsidRPr="00AA4CE1" w:rsidTr="00AE1C8F">
        <w:trPr>
          <w:trHeight w:val="279"/>
        </w:trPr>
        <w:tc>
          <w:tcPr>
            <w:tcW w:w="9464" w:type="dxa"/>
            <w:vAlign w:val="center"/>
          </w:tcPr>
          <w:p w:rsidR="00B44D2F" w:rsidRPr="00E47C06" w:rsidRDefault="00B44D2F" w:rsidP="00AE1C8F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E47C06">
              <w:rPr>
                <w:color w:val="000000"/>
                <w:szCs w:val="24"/>
              </w:rPr>
              <w:t>4. Místo pro mobilní prodej</w:t>
            </w:r>
          </w:p>
        </w:tc>
      </w:tr>
    </w:tbl>
    <w:p w:rsidR="00B44D2F" w:rsidRDefault="00B44D2F" w:rsidP="00B44D2F">
      <w:r>
        <w:lastRenderedPageBreak/>
        <w:t>Zdroj: PS „Občanská vybavenost“, 23. 6. 2014</w:t>
      </w:r>
    </w:p>
    <w:p w:rsidR="00B44D2F" w:rsidRDefault="00B44D2F" w:rsidP="00B44D2F">
      <w:pPr>
        <w:spacing w:after="160" w:line="259" w:lineRule="auto"/>
        <w:jc w:val="left"/>
      </w:pPr>
      <w:r>
        <w:br w:type="page"/>
      </w:r>
    </w:p>
    <w:p w:rsidR="00B44D2F" w:rsidRPr="00B042B1" w:rsidRDefault="00B44D2F" w:rsidP="00B44D2F">
      <w:pPr>
        <w:pStyle w:val="Titulek"/>
        <w:rPr>
          <w:color w:val="auto"/>
          <w:sz w:val="24"/>
          <w:szCs w:val="24"/>
        </w:rPr>
      </w:pPr>
      <w:bookmarkStart w:id="28" w:name="_Toc445458973"/>
      <w:bookmarkStart w:id="29" w:name="_Toc446407717"/>
      <w:r w:rsidRPr="00B042B1">
        <w:rPr>
          <w:b/>
          <w:color w:val="auto"/>
          <w:sz w:val="24"/>
          <w:szCs w:val="24"/>
        </w:rPr>
        <w:lastRenderedPageBreak/>
        <w:t xml:space="preserve">Tabulka </w:t>
      </w:r>
      <w:r w:rsidR="00E161A8" w:rsidRPr="00B042B1">
        <w:rPr>
          <w:b/>
          <w:color w:val="auto"/>
          <w:sz w:val="24"/>
          <w:szCs w:val="24"/>
        </w:rPr>
        <w:fldChar w:fldCharType="begin"/>
      </w:r>
      <w:r w:rsidRPr="00B042B1">
        <w:rPr>
          <w:b/>
          <w:color w:val="auto"/>
          <w:sz w:val="24"/>
          <w:szCs w:val="24"/>
        </w:rPr>
        <w:instrText xml:space="preserve"> SEQ Tabulka \* ARABIC </w:instrText>
      </w:r>
      <w:r w:rsidR="00E161A8" w:rsidRPr="00B042B1">
        <w:rPr>
          <w:b/>
          <w:color w:val="auto"/>
          <w:sz w:val="24"/>
          <w:szCs w:val="24"/>
        </w:rPr>
        <w:fldChar w:fldCharType="separate"/>
      </w:r>
      <w:r>
        <w:rPr>
          <w:b/>
          <w:noProof/>
          <w:color w:val="auto"/>
          <w:sz w:val="24"/>
          <w:szCs w:val="24"/>
        </w:rPr>
        <w:t>92</w:t>
      </w:r>
      <w:r w:rsidR="00E161A8" w:rsidRPr="00B042B1">
        <w:rPr>
          <w:b/>
          <w:color w:val="auto"/>
          <w:sz w:val="24"/>
          <w:szCs w:val="24"/>
        </w:rPr>
        <w:fldChar w:fldCharType="end"/>
      </w:r>
      <w:r w:rsidRPr="00B042B1"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 xml:space="preserve"> </w:t>
      </w:r>
      <w:r w:rsidRPr="00B042B1">
        <w:rPr>
          <w:color w:val="auto"/>
          <w:sz w:val="24"/>
          <w:szCs w:val="24"/>
        </w:rPr>
        <w:t>Návrhy řešení identifikovaných příčin analyzovaného problému „mateřské školky“</w:t>
      </w:r>
      <w:bookmarkEnd w:id="28"/>
      <w:bookmarkEnd w:id="29"/>
    </w:p>
    <w:tbl>
      <w:tblPr>
        <w:tblpPr w:leftFromText="142" w:rightFromText="142" w:vertAnchor="text" w:horzAnchor="margin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26"/>
      </w:tblGrid>
      <w:tr w:rsidR="00B44D2F" w:rsidRPr="00BC43F0" w:rsidTr="00AE1C8F">
        <w:trPr>
          <w:trHeight w:val="567"/>
        </w:trPr>
        <w:tc>
          <w:tcPr>
            <w:tcW w:w="9426" w:type="dxa"/>
            <w:shd w:val="clear" w:color="auto" w:fill="FFC000"/>
            <w:noWrap/>
            <w:vAlign w:val="center"/>
            <w:hideMark/>
          </w:tcPr>
          <w:p w:rsidR="00B44D2F" w:rsidRPr="00C82F28" w:rsidRDefault="00B44D2F" w:rsidP="00AE1C8F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37A">
              <w:rPr>
                <w:b/>
                <w:color w:val="000000"/>
                <w:sz w:val="26"/>
                <w:szCs w:val="26"/>
              </w:rPr>
              <w:t>Návrhy řešení identifikovaných příčin problému č.7 „Mateřské školky“</w:t>
            </w:r>
          </w:p>
        </w:tc>
      </w:tr>
      <w:tr w:rsidR="00B44D2F" w:rsidRPr="00BC43F0" w:rsidTr="00AE1C8F">
        <w:trPr>
          <w:trHeight w:val="306"/>
        </w:trPr>
        <w:tc>
          <w:tcPr>
            <w:tcW w:w="9426" w:type="dxa"/>
            <w:shd w:val="clear" w:color="auto" w:fill="auto"/>
            <w:noWrap/>
            <w:vAlign w:val="center"/>
            <w:hideMark/>
          </w:tcPr>
          <w:p w:rsidR="00B44D2F" w:rsidRPr="0057367A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57367A">
              <w:rPr>
                <w:color w:val="000000"/>
              </w:rPr>
              <w:t>1. Stavební úpravy stávajících budov</w:t>
            </w:r>
          </w:p>
        </w:tc>
      </w:tr>
      <w:tr w:rsidR="00B44D2F" w:rsidRPr="00BC43F0" w:rsidTr="00AE1C8F">
        <w:trPr>
          <w:trHeight w:val="306"/>
        </w:trPr>
        <w:tc>
          <w:tcPr>
            <w:tcW w:w="9426" w:type="dxa"/>
            <w:shd w:val="clear" w:color="auto" w:fill="auto"/>
            <w:noWrap/>
            <w:vAlign w:val="center"/>
            <w:hideMark/>
          </w:tcPr>
          <w:p w:rsidR="00B44D2F" w:rsidRPr="0057367A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57367A">
              <w:rPr>
                <w:color w:val="000000"/>
              </w:rPr>
              <w:t>2. Možnost vzniku alternativních školek</w:t>
            </w:r>
          </w:p>
        </w:tc>
      </w:tr>
      <w:tr w:rsidR="00B44D2F" w:rsidRPr="00BC43F0" w:rsidTr="00AE1C8F">
        <w:trPr>
          <w:trHeight w:val="306"/>
        </w:trPr>
        <w:tc>
          <w:tcPr>
            <w:tcW w:w="9426" w:type="dxa"/>
            <w:shd w:val="clear" w:color="auto" w:fill="auto"/>
            <w:noWrap/>
            <w:vAlign w:val="center"/>
            <w:hideMark/>
          </w:tcPr>
          <w:p w:rsidR="00B44D2F" w:rsidRPr="0057367A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57367A">
              <w:rPr>
                <w:color w:val="000000"/>
              </w:rPr>
              <w:t>3. Rodičovská centra</w:t>
            </w:r>
          </w:p>
        </w:tc>
      </w:tr>
      <w:tr w:rsidR="00B44D2F" w:rsidRPr="00BC43F0" w:rsidTr="00AE1C8F">
        <w:trPr>
          <w:trHeight w:val="306"/>
        </w:trPr>
        <w:tc>
          <w:tcPr>
            <w:tcW w:w="9426" w:type="dxa"/>
            <w:shd w:val="clear" w:color="auto" w:fill="auto"/>
            <w:noWrap/>
            <w:vAlign w:val="center"/>
            <w:hideMark/>
          </w:tcPr>
          <w:p w:rsidR="00B44D2F" w:rsidRPr="0057367A" w:rsidRDefault="00B44D2F" w:rsidP="00AE1C8F">
            <w:pPr>
              <w:spacing w:line="240" w:lineRule="auto"/>
              <w:jc w:val="left"/>
              <w:rPr>
                <w:color w:val="000000"/>
              </w:rPr>
            </w:pPr>
            <w:r w:rsidRPr="0057367A">
              <w:rPr>
                <w:color w:val="000000"/>
              </w:rPr>
              <w:t>4. Podpora dobrovolnické činnosti</w:t>
            </w:r>
          </w:p>
        </w:tc>
      </w:tr>
    </w:tbl>
    <w:p w:rsidR="00B44D2F" w:rsidRPr="00BD6FA2" w:rsidRDefault="00B44D2F" w:rsidP="00B44D2F">
      <w:pPr>
        <w:rPr>
          <w:sz w:val="22"/>
        </w:rPr>
      </w:pPr>
      <w:r w:rsidRPr="00BD6FA2">
        <w:rPr>
          <w:sz w:val="22"/>
        </w:rPr>
        <w:t>Zdroj: PS „Občanská vybavenost“, 23.</w:t>
      </w:r>
      <w:r>
        <w:rPr>
          <w:sz w:val="22"/>
        </w:rPr>
        <w:t xml:space="preserve"> </w:t>
      </w:r>
      <w:r w:rsidRPr="00BD6FA2">
        <w:rPr>
          <w:sz w:val="22"/>
        </w:rPr>
        <w:t>6.</w:t>
      </w:r>
      <w:r>
        <w:rPr>
          <w:sz w:val="22"/>
        </w:rPr>
        <w:t xml:space="preserve"> </w:t>
      </w:r>
      <w:r w:rsidRPr="00BD6FA2">
        <w:rPr>
          <w:sz w:val="22"/>
        </w:rPr>
        <w:t>2014</w:t>
      </w:r>
    </w:p>
    <w:p w:rsidR="00B44D2F" w:rsidRDefault="00B44D2F" w:rsidP="00B44D2F">
      <w:pPr>
        <w:spacing w:line="276" w:lineRule="auto"/>
      </w:pPr>
    </w:p>
    <w:p w:rsidR="00B44D2F" w:rsidRDefault="00B44D2F" w:rsidP="00B44D2F">
      <w:pPr>
        <w:spacing w:line="276" w:lineRule="auto"/>
        <w:rPr>
          <w:b/>
        </w:rPr>
      </w:pPr>
      <w:r w:rsidRPr="00ED0DAE">
        <w:rPr>
          <w:b/>
          <w:szCs w:val="24"/>
        </w:rPr>
        <w:t>Výstu</w:t>
      </w:r>
      <w:r>
        <w:rPr>
          <w:b/>
          <w:szCs w:val="24"/>
        </w:rPr>
        <w:t>py ze 2. pracovní schůzky PS „Občanská vybavenost</w:t>
      </w:r>
      <w:r w:rsidRPr="00ED0DAE">
        <w:rPr>
          <w:b/>
          <w:szCs w:val="24"/>
        </w:rPr>
        <w:t>“ byly využity pro</w:t>
      </w:r>
      <w:r>
        <w:rPr>
          <w:b/>
          <w:szCs w:val="24"/>
        </w:rPr>
        <w:t xml:space="preserve"> formulaci</w:t>
      </w:r>
      <w:r w:rsidRPr="00ED0DAE">
        <w:rPr>
          <w:b/>
          <w:szCs w:val="24"/>
        </w:rPr>
        <w:t xml:space="preserve"> s</w:t>
      </w:r>
      <w:r>
        <w:rPr>
          <w:b/>
          <w:szCs w:val="24"/>
        </w:rPr>
        <w:t>trategických</w:t>
      </w:r>
      <w:r w:rsidRPr="00ED0DAE">
        <w:rPr>
          <w:b/>
          <w:szCs w:val="24"/>
        </w:rPr>
        <w:t xml:space="preserve"> cílů, </w:t>
      </w:r>
      <w:r>
        <w:rPr>
          <w:b/>
          <w:szCs w:val="24"/>
        </w:rPr>
        <w:t xml:space="preserve">Aktivita a aktivit pro prioritu č. 1 </w:t>
      </w:r>
      <w:r w:rsidRPr="00ED0DAE">
        <w:rPr>
          <w:b/>
          <w:szCs w:val="24"/>
        </w:rPr>
        <w:t>„</w:t>
      </w:r>
      <w:r>
        <w:rPr>
          <w:b/>
          <w:szCs w:val="24"/>
        </w:rPr>
        <w:t>KVALITNÍ OBČANSKÁ VYBAVENOST</w:t>
      </w:r>
      <w:r w:rsidRPr="00ED0DAE">
        <w:rPr>
          <w:b/>
          <w:szCs w:val="24"/>
        </w:rPr>
        <w:t>“</w:t>
      </w:r>
      <w:r>
        <w:rPr>
          <w:b/>
          <w:szCs w:val="24"/>
        </w:rPr>
        <w:t xml:space="preserve"> </w:t>
      </w:r>
      <w:r w:rsidRPr="00ED0DAE">
        <w:rPr>
          <w:b/>
        </w:rPr>
        <w:t>Integrované strategie území MAS Krajina srdce</w:t>
      </w:r>
      <w:r>
        <w:rPr>
          <w:b/>
        </w:rPr>
        <w:t>, z.s. pro období let 2014 – </w:t>
      </w:r>
      <w:r w:rsidRPr="00ED0DAE">
        <w:rPr>
          <w:b/>
        </w:rPr>
        <w:t>2020.</w:t>
      </w:r>
    </w:p>
    <w:p w:rsidR="00B44D2F" w:rsidRPr="00ED0DAE" w:rsidRDefault="00B44D2F" w:rsidP="00B44D2F">
      <w:pPr>
        <w:spacing w:line="276" w:lineRule="auto"/>
        <w:rPr>
          <w:b/>
          <w:szCs w:val="24"/>
        </w:rPr>
      </w:pPr>
    </w:p>
    <w:p w:rsidR="004F652D" w:rsidRDefault="004F652D"/>
    <w:sectPr w:rsidR="004F652D" w:rsidSect="00E1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C23"/>
    <w:multiLevelType w:val="multilevel"/>
    <w:tmpl w:val="84D8C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5E11937"/>
    <w:multiLevelType w:val="multilevel"/>
    <w:tmpl w:val="95FA15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270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44D2F"/>
    <w:rsid w:val="000E5DBB"/>
    <w:rsid w:val="004F652D"/>
    <w:rsid w:val="006E5F0C"/>
    <w:rsid w:val="00B44D2F"/>
    <w:rsid w:val="00C81B12"/>
    <w:rsid w:val="00D50617"/>
    <w:rsid w:val="00E1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D2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4D2F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4D2F"/>
    <w:pPr>
      <w:keepNext/>
      <w:keepLines/>
      <w:numPr>
        <w:ilvl w:val="1"/>
        <w:numId w:val="2"/>
      </w:numPr>
      <w:spacing w:after="240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44D2F"/>
    <w:pPr>
      <w:keepNext/>
      <w:keepLines/>
      <w:numPr>
        <w:ilvl w:val="2"/>
        <w:numId w:val="2"/>
      </w:numPr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4D2F"/>
    <w:pPr>
      <w:keepNext/>
      <w:keepLines/>
      <w:numPr>
        <w:ilvl w:val="3"/>
        <w:numId w:val="2"/>
      </w:numPr>
      <w:spacing w:before="240" w:after="240"/>
      <w:ind w:left="864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44D2F"/>
    <w:pPr>
      <w:keepNext/>
      <w:keepLines/>
      <w:numPr>
        <w:ilvl w:val="4"/>
        <w:numId w:val="2"/>
      </w:numPr>
      <w:spacing w:before="240" w:after="24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44D2F"/>
    <w:pPr>
      <w:keepNext/>
      <w:keepLines/>
      <w:numPr>
        <w:ilvl w:val="5"/>
        <w:numId w:val="2"/>
      </w:numPr>
      <w:spacing w:before="40"/>
      <w:outlineLvl w:val="5"/>
    </w:pPr>
    <w:rPr>
      <w:rFonts w:eastAsiaTheme="majorEastAsia" w:cstheme="majorBidi"/>
      <w:b/>
      <w:sz w:val="3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44D2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4D2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4D2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4D2F"/>
    <w:rPr>
      <w:rFonts w:ascii="Times New Roman" w:eastAsiaTheme="majorEastAsia" w:hAnsi="Times New Roman" w:cstheme="majorBidi"/>
      <w:b/>
      <w:color w:val="000000" w:themeColor="text1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4D2F"/>
    <w:rPr>
      <w:rFonts w:ascii="Times New Roman" w:eastAsiaTheme="majorEastAsia" w:hAnsi="Times New Roman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4D2F"/>
    <w:rPr>
      <w:rFonts w:ascii="Times New Roman" w:eastAsiaTheme="majorEastAsia" w:hAnsi="Times New Roman" w:cstheme="majorBidi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44D2F"/>
    <w:rPr>
      <w:rFonts w:ascii="Times New Roman" w:eastAsiaTheme="majorEastAsia" w:hAnsi="Times New Roman" w:cstheme="majorBidi"/>
      <w:b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44D2F"/>
    <w:rPr>
      <w:rFonts w:ascii="Times New Roman" w:eastAsiaTheme="majorEastAsia" w:hAnsi="Times New Roman" w:cstheme="majorBidi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44D2F"/>
    <w:rPr>
      <w:rFonts w:ascii="Times New Roman" w:eastAsiaTheme="majorEastAsia" w:hAnsi="Times New Roman" w:cstheme="majorBidi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44D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4D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4D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uiPriority w:val="59"/>
    <w:rsid w:val="00B4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44D2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B44D2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B44D2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D2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4D2F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4D2F"/>
    <w:pPr>
      <w:keepNext/>
      <w:keepLines/>
      <w:numPr>
        <w:ilvl w:val="1"/>
        <w:numId w:val="2"/>
      </w:numPr>
      <w:spacing w:after="240"/>
      <w:ind w:left="578" w:hanging="578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44D2F"/>
    <w:pPr>
      <w:keepNext/>
      <w:keepLines/>
      <w:numPr>
        <w:ilvl w:val="2"/>
        <w:numId w:val="2"/>
      </w:numPr>
      <w:spacing w:before="1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44D2F"/>
    <w:pPr>
      <w:keepNext/>
      <w:keepLines/>
      <w:numPr>
        <w:ilvl w:val="3"/>
        <w:numId w:val="2"/>
      </w:numPr>
      <w:spacing w:before="240" w:after="240"/>
      <w:ind w:left="864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44D2F"/>
    <w:pPr>
      <w:keepNext/>
      <w:keepLines/>
      <w:numPr>
        <w:ilvl w:val="4"/>
        <w:numId w:val="2"/>
      </w:numPr>
      <w:spacing w:before="240" w:after="24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44D2F"/>
    <w:pPr>
      <w:keepNext/>
      <w:keepLines/>
      <w:numPr>
        <w:ilvl w:val="5"/>
        <w:numId w:val="2"/>
      </w:numPr>
      <w:spacing w:before="40"/>
      <w:outlineLvl w:val="5"/>
    </w:pPr>
    <w:rPr>
      <w:rFonts w:eastAsiaTheme="majorEastAsia" w:cstheme="majorBidi"/>
      <w:b/>
      <w:sz w:val="3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44D2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4D2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4D2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4D2F"/>
    <w:rPr>
      <w:rFonts w:ascii="Times New Roman" w:eastAsiaTheme="majorEastAsia" w:hAnsi="Times New Roman" w:cstheme="majorBidi"/>
      <w:b/>
      <w:color w:val="000000" w:themeColor="text1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4D2F"/>
    <w:rPr>
      <w:rFonts w:ascii="Times New Roman" w:eastAsiaTheme="majorEastAsia" w:hAnsi="Times New Roman" w:cstheme="majorBidi"/>
      <w:b/>
      <w:sz w:val="32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4D2F"/>
    <w:rPr>
      <w:rFonts w:ascii="Times New Roman" w:eastAsiaTheme="majorEastAsia" w:hAnsi="Times New Roman" w:cstheme="majorBidi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44D2F"/>
    <w:rPr>
      <w:rFonts w:ascii="Times New Roman" w:eastAsiaTheme="majorEastAsia" w:hAnsi="Times New Roman" w:cstheme="majorBidi"/>
      <w:b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44D2F"/>
    <w:rPr>
      <w:rFonts w:ascii="Times New Roman" w:eastAsiaTheme="majorEastAsia" w:hAnsi="Times New Roman" w:cstheme="majorBidi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44D2F"/>
    <w:rPr>
      <w:rFonts w:ascii="Times New Roman" w:eastAsiaTheme="majorEastAsia" w:hAnsi="Times New Roman" w:cstheme="majorBidi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44D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4D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4D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uiPriority w:val="59"/>
    <w:rsid w:val="00B4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44D2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B44D2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B44D2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1595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Burianová</dc:creator>
  <cp:lastModifiedBy>MAS</cp:lastModifiedBy>
  <cp:revision>2</cp:revision>
  <dcterms:created xsi:type="dcterms:W3CDTF">2019-06-27T09:01:00Z</dcterms:created>
  <dcterms:modified xsi:type="dcterms:W3CDTF">2019-06-27T09:01:00Z</dcterms:modified>
</cp:coreProperties>
</file>