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56" w:rsidRDefault="005B1C56" w:rsidP="005B1C56">
      <w:pPr>
        <w:widowControl w:val="0"/>
        <w:overflowPunct w:val="0"/>
        <w:autoSpaceDE w:val="0"/>
        <w:autoSpaceDN w:val="0"/>
        <w:adjustRightInd w:val="0"/>
        <w:spacing w:line="226" w:lineRule="auto"/>
        <w:ind w:left="500" w:righ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Stanovisko MŽP k poskytnutí dotace z Programu rozvoje venkova, které vydává níže uvedené krajské středisko AOPK ČR nebo místně příslušná správa NP na základě příkazu ministra ŽP č. XX./07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Pracoviště: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3C1CA5">
      <w:pPr>
        <w:widowControl w:val="0"/>
        <w:overflowPunct w:val="0"/>
        <w:autoSpaceDE w:val="0"/>
        <w:autoSpaceDN w:val="0"/>
        <w:adjustRightInd w:val="0"/>
        <w:spacing w:line="220" w:lineRule="auto"/>
        <w:ind w:left="60" w:righ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Oblast </w:t>
      </w:r>
      <w:r w:rsidR="003C1CA5">
        <w:rPr>
          <w:rFonts w:ascii="Arial" w:hAnsi="Arial" w:cs="Arial"/>
        </w:rPr>
        <w:t xml:space="preserve">podpory: </w:t>
      </w:r>
      <w:r>
        <w:rPr>
          <w:rFonts w:ascii="Arial" w:hAnsi="Arial" w:cs="Arial"/>
          <w:b/>
          <w:bCs/>
        </w:rPr>
        <w:t>19.2.1 Podpora provádění operací v rámci strategie komunitně vedeného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místního rozvoje/Fiche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Investice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zemědělských podniků</w:t>
      </w:r>
      <w:r>
        <w:rPr>
          <w:rFonts w:ascii="Arial" w:hAnsi="Arial" w:cs="Arial"/>
        </w:rPr>
        <w:t xml:space="preserve"> </w:t>
      </w:r>
      <w:r w:rsidR="003C1CA5">
        <w:rPr>
          <w:rFonts w:ascii="Arial" w:hAnsi="Arial" w:cs="Arial"/>
          <w:b/>
          <w:bCs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Budování</w:t>
      </w:r>
      <w:r w:rsidR="003C1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pastevních areálů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56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Žadatel: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Název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projektu: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KÚ: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Parcelní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>číslo/čísla: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Arial" w:hAnsi="Arial" w:cs="Arial"/>
        </w:rPr>
      </w:pPr>
    </w:p>
    <w:p w:rsidR="005B1C56" w:rsidRDefault="005B1C56" w:rsidP="005B1C56">
      <w:pPr>
        <w:widowControl w:val="0"/>
        <w:tabs>
          <w:tab w:val="left" w:pos="8620"/>
        </w:tabs>
        <w:autoSpaceDE w:val="0"/>
        <w:autoSpaceDN w:val="0"/>
        <w:adjustRightInd w:val="0"/>
        <w:spacing w:line="239" w:lineRule="auto"/>
        <w:ind w:right="0"/>
        <w:rPr>
          <w:rFonts w:ascii="Arial" w:hAnsi="Arial" w:cs="Arial"/>
          <w:b/>
          <w:bCs/>
        </w:rPr>
      </w:pPr>
    </w:p>
    <w:p w:rsidR="005B1C56" w:rsidRDefault="005B1C56" w:rsidP="005B1C56">
      <w:pPr>
        <w:widowControl w:val="0"/>
        <w:tabs>
          <w:tab w:val="left" w:pos="8620"/>
        </w:tabs>
        <w:autoSpaceDE w:val="0"/>
        <w:autoSpaceDN w:val="0"/>
        <w:adjustRightInd w:val="0"/>
        <w:spacing w:line="239" w:lineRule="auto"/>
        <w:ind w:right="0"/>
        <w:rPr>
          <w:rFonts w:ascii="Arial" w:hAnsi="Arial" w:cs="Arial"/>
          <w:b/>
          <w:bCs/>
        </w:rPr>
      </w:pPr>
    </w:p>
    <w:p w:rsidR="005B1C56" w:rsidRDefault="005B1C56" w:rsidP="005B1C56">
      <w:pPr>
        <w:widowControl w:val="0"/>
        <w:tabs>
          <w:tab w:val="left" w:pos="8620"/>
        </w:tabs>
        <w:autoSpaceDE w:val="0"/>
        <w:autoSpaceDN w:val="0"/>
        <w:adjustRightInd w:val="0"/>
        <w:spacing w:line="239" w:lineRule="auto"/>
        <w:ind w:right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Otázky: </w:t>
      </w:r>
      <w:r>
        <w:rPr>
          <w:rFonts w:ascii="Arial" w:hAnsi="Arial" w:cs="Arial"/>
          <w:i/>
          <w:iCs/>
        </w:rPr>
        <w:t>(*nehodící se škrtněte; prosím zaškrtněte odpovědi u všech otázek)</w:t>
      </w:r>
    </w:p>
    <w:p w:rsidR="005B1C56" w:rsidRDefault="005B1C56" w:rsidP="005B1C56">
      <w:pPr>
        <w:widowControl w:val="0"/>
        <w:tabs>
          <w:tab w:val="left" w:pos="8620"/>
        </w:tabs>
        <w:autoSpaceDE w:val="0"/>
        <w:autoSpaceDN w:val="0"/>
        <w:adjustRightInd w:val="0"/>
        <w:spacing w:line="239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numPr>
          <w:ilvl w:val="0"/>
          <w:numId w:val="1"/>
        </w:numPr>
        <w:tabs>
          <w:tab w:val="clear" w:pos="720"/>
          <w:tab w:val="num" w:pos="336"/>
        </w:tabs>
        <w:overflowPunct w:val="0"/>
        <w:autoSpaceDE w:val="0"/>
        <w:autoSpaceDN w:val="0"/>
        <w:adjustRightInd w:val="0"/>
        <w:spacing w:line="221" w:lineRule="auto"/>
        <w:ind w:left="60" w:right="6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Znemožňuje záměr přístup do krajiny? (ve smyslu § 63 zákona č. 114/1992Sb., v platném znění)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9"/>
          <w:szCs w:val="19"/>
        </w:rPr>
        <w:t>ANO/NE*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94" w:lineRule="exact"/>
        <w:rPr>
          <w:rFonts w:ascii="Arial" w:hAnsi="Arial" w:cs="Arial"/>
        </w:rPr>
      </w:pPr>
    </w:p>
    <w:p w:rsidR="005B1C56" w:rsidRPr="005B1C56" w:rsidRDefault="005B1C56" w:rsidP="005B1C56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line="227" w:lineRule="auto"/>
        <w:ind w:left="60" w:right="0" w:hanging="1"/>
        <w:rPr>
          <w:rFonts w:ascii="Arial" w:hAnsi="Arial" w:cs="Arial"/>
        </w:rPr>
      </w:pPr>
      <w:r>
        <w:rPr>
          <w:rFonts w:ascii="Arial" w:hAnsi="Arial" w:cs="Arial"/>
        </w:rPr>
        <w:t xml:space="preserve">Omezuje záměr nadměrně prostupnost krajiny pro volně žijící živočichy? (např. zaplocení prvků ÚSES el. ohradníkem nebo situace, kdy v přírodně zachovalé nebo migračně významné krajině budou v dané části pastevního areálu ponechány vodiče </w:t>
      </w:r>
      <w:r w:rsidRPr="005B1C56">
        <w:rPr>
          <w:rFonts w:ascii="Arial" w:hAnsi="Arial" w:cs="Arial"/>
        </w:rPr>
        <w:t xml:space="preserve">el. ohradníků 10 a více dnů po ukončení pastvy)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9"/>
          <w:szCs w:val="19"/>
        </w:rPr>
        <w:t>ANO/NE*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95" w:lineRule="exact"/>
        <w:rPr>
          <w:rFonts w:ascii="Arial" w:hAnsi="Arial" w:cs="Arial"/>
        </w:rPr>
      </w:pPr>
    </w:p>
    <w:p w:rsidR="005B1C56" w:rsidRPr="005B1C56" w:rsidRDefault="005B1C56" w:rsidP="005B1C56">
      <w:pPr>
        <w:widowControl w:val="0"/>
        <w:numPr>
          <w:ilvl w:val="0"/>
          <w:numId w:val="1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line="221" w:lineRule="auto"/>
        <w:ind w:left="60" w:right="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Dojde realizací záměru k ohrožení biotopů uvedených na 2. straně formuláře a hodnotné mimolesní zeleně? (za ohrožení se považuje, pokud zůstanou takovéto </w:t>
      </w:r>
      <w:r w:rsidRPr="005B1C56">
        <w:rPr>
          <w:rFonts w:ascii="Arial" w:hAnsi="Arial" w:cs="Arial"/>
        </w:rPr>
        <w:t xml:space="preserve">plochy uvnitř areálu nezajištěné ohradníkem nebo spolehlivým plotem)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9"/>
          <w:szCs w:val="19"/>
        </w:rPr>
        <w:t>ANO/NE*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58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40" w:lineRule="auto"/>
        <w:ind w:left="60" w:right="0"/>
        <w:rPr>
          <w:rFonts w:ascii="Arial" w:hAnsi="Arial" w:cs="Arial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40" w:lineRule="auto"/>
        <w:ind w:left="60" w:right="0"/>
        <w:rPr>
          <w:rFonts w:ascii="Arial" w:hAnsi="Arial" w:cs="Arial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40" w:lineRule="auto"/>
        <w:ind w:left="60" w:righ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Zdůvodnění v případě odpovědi "</w:t>
      </w:r>
      <w:r>
        <w:rPr>
          <w:rFonts w:ascii="Arial" w:hAnsi="Arial" w:cs="Arial"/>
          <w:b/>
          <w:bCs/>
        </w:rPr>
        <w:t>ANO</w:t>
      </w:r>
      <w:r>
        <w:rPr>
          <w:rFonts w:ascii="Arial" w:hAnsi="Arial" w:cs="Arial"/>
        </w:rPr>
        <w:t>" na kteroukoliv z výše uvedených otázek: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overflowPunct w:val="0"/>
        <w:autoSpaceDE w:val="0"/>
        <w:autoSpaceDN w:val="0"/>
        <w:adjustRightInd w:val="0"/>
        <w:spacing w:line="219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Z hlediska zájmů ochrany přírody a krajiny souhlasím/nesouhlasím* s podporou výše uvedeného záměru z Programu rozvoje venkova 2014-2020.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306" w:lineRule="exact"/>
        <w:ind w:right="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overflowPunct w:val="0"/>
        <w:autoSpaceDE w:val="0"/>
        <w:autoSpaceDN w:val="0"/>
        <w:adjustRightInd w:val="0"/>
        <w:spacing w:line="22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Toto stanovisko je vydáno pouze pro potřeby poskytnutí finanční podpory z Programu rozvoje venkova a nenahrazuje povolení, souhlas, stanovisko nebo výjimku ze zákazu podle zákona č. 114/1992 Sb., o ochraně přírody a krajiny v platném znění.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61" w:lineRule="exact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tabs>
          <w:tab w:val="num" w:pos="2880"/>
          <w:tab w:val="left" w:pos="56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1C56" w:rsidRDefault="005B1C56" w:rsidP="005B1C56">
      <w:pPr>
        <w:widowControl w:val="0"/>
        <w:tabs>
          <w:tab w:val="num" w:pos="2880"/>
          <w:tab w:val="left" w:pos="56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tabs>
          <w:tab w:val="num" w:pos="2880"/>
          <w:tab w:val="left" w:pos="56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Razítko a podpis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>Výčet biotopů podle Katalogu biotopů**: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7" w:lineRule="exact"/>
        <w:ind w:right="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R1.1 Luční </w:t>
      </w:r>
      <w:proofErr w:type="spellStart"/>
      <w:r>
        <w:rPr>
          <w:rFonts w:ascii="Arial" w:hAnsi="Arial" w:cs="Arial"/>
        </w:rPr>
        <w:t>pěnovcová</w:t>
      </w:r>
      <w:proofErr w:type="spellEnd"/>
      <w:r>
        <w:rPr>
          <w:rFonts w:ascii="Arial" w:hAnsi="Arial" w:cs="Arial"/>
        </w:rPr>
        <w:t xml:space="preserve"> prameniště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3" w:lineRule="exact"/>
        <w:ind w:right="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R1.2 Luční prameniště bez tvorby </w:t>
      </w:r>
      <w:proofErr w:type="spellStart"/>
      <w:r>
        <w:rPr>
          <w:rFonts w:ascii="Arial" w:hAnsi="Arial" w:cs="Arial"/>
        </w:rPr>
        <w:t>pěnovců</w:t>
      </w:r>
      <w:proofErr w:type="spellEnd"/>
    </w:p>
    <w:p w:rsidR="005B1C56" w:rsidRDefault="005B1C56" w:rsidP="005B1C56">
      <w:pPr>
        <w:widowControl w:val="0"/>
        <w:autoSpaceDE w:val="0"/>
        <w:autoSpaceDN w:val="0"/>
        <w:adjustRightInd w:val="0"/>
        <w:spacing w:line="2" w:lineRule="exact"/>
        <w:ind w:right="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R1.5 Subalpínská prameniště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" w:lineRule="exact"/>
        <w:ind w:right="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R2.1 Vápnitá slatiniště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5" w:lineRule="exact"/>
        <w:ind w:right="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R2.2 Nevápnitá mechová slatiniště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" w:lineRule="exact"/>
        <w:ind w:right="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K3 Vysoké </w:t>
      </w:r>
      <w:proofErr w:type="spellStart"/>
      <w:r>
        <w:rPr>
          <w:rFonts w:ascii="Arial" w:hAnsi="Arial" w:cs="Arial"/>
        </w:rPr>
        <w:t>mezofilní</w:t>
      </w:r>
      <w:proofErr w:type="spellEnd"/>
      <w:r>
        <w:rPr>
          <w:rFonts w:ascii="Arial" w:hAnsi="Arial" w:cs="Arial"/>
        </w:rPr>
        <w:t xml:space="preserve"> a xerofilní křoviny</w:t>
      </w:r>
    </w:p>
    <w:p w:rsidR="005B1C56" w:rsidRDefault="005B1C56" w:rsidP="005B1C56">
      <w:pPr>
        <w:widowControl w:val="0"/>
        <w:autoSpaceDE w:val="0"/>
        <w:autoSpaceDN w:val="0"/>
        <w:adjustRightInd w:val="0"/>
        <w:spacing w:line="2" w:lineRule="exact"/>
        <w:ind w:right="0"/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autoSpaceDE w:val="0"/>
        <w:autoSpaceDN w:val="0"/>
        <w:adjustRightInd w:val="0"/>
        <w:spacing w:line="239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K4 Nízké xerofilní křoviny</w:t>
      </w:r>
    </w:p>
    <w:p w:rsidR="009A64B2" w:rsidRDefault="009A64B2">
      <w:pPr>
        <w:rPr>
          <w:rFonts w:ascii="Times New Roman" w:hAnsi="Times New Roman" w:cs="Times New Roman"/>
          <w:sz w:val="24"/>
          <w:szCs w:val="24"/>
        </w:rPr>
      </w:pPr>
    </w:p>
    <w:p w:rsidR="005B1C56" w:rsidRDefault="005B1C56">
      <w:pPr>
        <w:rPr>
          <w:rFonts w:ascii="Times New Roman" w:hAnsi="Times New Roman" w:cs="Times New Roman"/>
          <w:sz w:val="24"/>
          <w:szCs w:val="24"/>
        </w:rPr>
      </w:pPr>
    </w:p>
    <w:p w:rsidR="005B1C56" w:rsidRDefault="005B1C56" w:rsidP="005B1C56">
      <w:pPr>
        <w:widowControl w:val="0"/>
        <w:overflowPunct w:val="0"/>
        <w:autoSpaceDE w:val="0"/>
        <w:autoSpaceDN w:val="0"/>
        <w:adjustRightInd w:val="0"/>
        <w:spacing w:line="219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**Chytrý, M., Kučera, T. &amp; Kočí, M. (</w:t>
      </w:r>
      <w:proofErr w:type="spellStart"/>
      <w:r>
        <w:rPr>
          <w:rFonts w:ascii="Arial" w:hAnsi="Arial" w:cs="Arial"/>
        </w:rPr>
        <w:t>eds</w:t>
      </w:r>
      <w:proofErr w:type="spellEnd"/>
      <w:r>
        <w:rPr>
          <w:rFonts w:ascii="Arial" w:hAnsi="Arial" w:cs="Arial"/>
        </w:rPr>
        <w:t>.) (2001): Katalog biotopů České republiky. Agentura ochrany přírody a krajiny ČR, Praha.</w:t>
      </w:r>
    </w:p>
    <w:p w:rsidR="005B1C56" w:rsidRDefault="005B1C56">
      <w:pPr>
        <w:rPr>
          <w:rFonts w:ascii="Times New Roman" w:hAnsi="Times New Roman" w:cs="Times New Roman"/>
          <w:sz w:val="24"/>
          <w:szCs w:val="24"/>
        </w:rPr>
      </w:pPr>
    </w:p>
    <w:p w:rsidR="005B1C56" w:rsidRDefault="005B1C56"/>
    <w:sectPr w:rsidR="005B1C56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54"/>
    <w:multiLevelType w:val="hybridMultilevel"/>
    <w:tmpl w:val="00003A36"/>
    <w:lvl w:ilvl="0" w:tplc="00006E5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C56"/>
    <w:rsid w:val="003023DE"/>
    <w:rsid w:val="003860AD"/>
    <w:rsid w:val="003C1CA5"/>
    <w:rsid w:val="003F772E"/>
    <w:rsid w:val="00547DDB"/>
    <w:rsid w:val="005B1C56"/>
    <w:rsid w:val="009A64B2"/>
    <w:rsid w:val="009E1C76"/>
    <w:rsid w:val="00B757E8"/>
    <w:rsid w:val="00B96A73"/>
    <w:rsid w:val="00BC4667"/>
    <w:rsid w:val="00D0455F"/>
    <w:rsid w:val="00DF773A"/>
    <w:rsid w:val="00E1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4</cp:revision>
  <cp:lastPrinted>2017-12-06T10:58:00Z</cp:lastPrinted>
  <dcterms:created xsi:type="dcterms:W3CDTF">2017-12-06T10:51:00Z</dcterms:created>
  <dcterms:modified xsi:type="dcterms:W3CDTF">2018-01-05T09:51:00Z</dcterms:modified>
</cp:coreProperties>
</file>